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0CC1" w:rsidRPr="000C0D3F" w:rsidRDefault="00F30CC1" w:rsidP="00F30CC1">
      <w:pPr>
        <w:pStyle w:val="2"/>
        <w:ind w:left="0"/>
        <w:rPr>
          <w:rFonts w:ascii="Times New Roman" w:hAnsi="Times New Roman"/>
        </w:rPr>
      </w:pPr>
      <w:r w:rsidRPr="000C0D3F">
        <w:rPr>
          <w:rFonts w:ascii="Times New Roman" w:hAnsi="Times New Roman"/>
        </w:rPr>
        <w:t>Gender Analysis and Action Plan</w:t>
      </w:r>
    </w:p>
    <w:p w:rsidR="00F30CC1" w:rsidRPr="000C0D3F" w:rsidRDefault="00F30CC1" w:rsidP="00F30CC1">
      <w:pPr>
        <w:numPr>
          <w:ilvl w:val="0"/>
          <w:numId w:val="1"/>
        </w:numPr>
        <w:spacing w:before="120" w:after="120" w:line="259" w:lineRule="auto"/>
        <w:contextualSpacing/>
        <w:jc w:val="left"/>
        <w:rPr>
          <w:rFonts w:ascii="Times New Roman" w:eastAsia="Calibri" w:hAnsi="Times New Roman"/>
          <w:sz w:val="22"/>
          <w:szCs w:val="22"/>
        </w:rPr>
      </w:pPr>
      <w:r w:rsidRPr="000C0D3F">
        <w:rPr>
          <w:rFonts w:ascii="Times New Roman" w:eastAsia="Calibri" w:hAnsi="Times New Roman"/>
          <w:sz w:val="22"/>
          <w:szCs w:val="22"/>
        </w:rPr>
        <w:t>INTERNATIONAL LEGAL FRAMEWORK</w:t>
      </w:r>
    </w:p>
    <w:p w:rsidR="00F30CC1" w:rsidRPr="000C0D3F" w:rsidRDefault="00F30CC1" w:rsidP="00F30CC1">
      <w:pPr>
        <w:spacing w:before="120" w:after="120"/>
        <w:ind w:left="720"/>
        <w:contextualSpacing/>
        <w:jc w:val="left"/>
        <w:rPr>
          <w:rFonts w:ascii="Times New Roman" w:eastAsia="Calibri" w:hAnsi="Times New Roman"/>
          <w:sz w:val="22"/>
          <w:szCs w:val="22"/>
        </w:rPr>
      </w:pP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 xml:space="preserve">Mexico signed the Convention on the Elimination of all Forms of Discrimination against Women (CEDAW) in 1980. Derived from this convention were several international instruments such as the Beijing Declaration and Platform for Action (UN 1995) which signified the extension of women's issues to broader concepts such as gender and equity. It is from this international instrument, also ratified by Mexico, that environment and the participation of different groups of society are related to the use and exploitation of natural resources. </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While the world has achieved progress towards gender equality and women’s empowerment under the Millennium Development Goals (including equal access to primary education between girls and boys), women and girls continue to suffer discrimination and violence in every part of the world. Providing women and girls with equal access to education, health care, decent work, and representation in political and economic decision-making processes will fuel sustainable economies and benefit societies and humanity at large. Implementing new legal frameworks regarding female equality in the workplace and the eradication of harmful practices targeted at women is crucial to ending the gender-based discrimination prevalent in many countries around the world.</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 xml:space="preserve">The importance of advancing in gender equality is recognized under the Sustainable Development Goal and reflected in 36 targets and 54 indicators. SDG 5 –Achieve gender equality and empower all women and girls, targets the following: </w:t>
      </w:r>
    </w:p>
    <w:p w:rsidR="00F30CC1" w:rsidRPr="000C0D3F" w:rsidRDefault="00F30CC1" w:rsidP="00F30CC1">
      <w:pPr>
        <w:numPr>
          <w:ilvl w:val="0"/>
          <w:numId w:val="5"/>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End all forms of discrimination against all women and girls everywhere.</w:t>
      </w:r>
    </w:p>
    <w:p w:rsidR="00F30CC1" w:rsidRPr="000C0D3F" w:rsidRDefault="00F30CC1" w:rsidP="00F30CC1">
      <w:pPr>
        <w:numPr>
          <w:ilvl w:val="0"/>
          <w:numId w:val="5"/>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Eliminate all forms of violence against all women and girls in public and private spheres, including trafficking and sexual and other types of exploitation.</w:t>
      </w:r>
    </w:p>
    <w:p w:rsidR="00F30CC1" w:rsidRPr="000C0D3F" w:rsidRDefault="00F30CC1" w:rsidP="00F30CC1">
      <w:pPr>
        <w:numPr>
          <w:ilvl w:val="0"/>
          <w:numId w:val="5"/>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Eliminate all harmful practices, such as child, early and forced marriage and female genital mutilation.</w:t>
      </w:r>
    </w:p>
    <w:p w:rsidR="00F30CC1" w:rsidRPr="000C0D3F" w:rsidRDefault="00F30CC1" w:rsidP="00F30CC1">
      <w:pPr>
        <w:numPr>
          <w:ilvl w:val="0"/>
          <w:numId w:val="5"/>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Recognize and value unpaid care and domestic work through the provision of public services, infrastructure, and social protection policies and the promotion of shared responsibility within the household and the family as nationally appropriate.</w:t>
      </w:r>
    </w:p>
    <w:p w:rsidR="00F30CC1" w:rsidRPr="000C0D3F" w:rsidRDefault="00F30CC1" w:rsidP="00F30CC1">
      <w:pPr>
        <w:numPr>
          <w:ilvl w:val="0"/>
          <w:numId w:val="5"/>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Ensure women’s full and effective participation and equal opportunities for leadership at all levels of decision making in political, economic and public life.</w:t>
      </w:r>
    </w:p>
    <w:p w:rsidR="00F30CC1" w:rsidRPr="000C0D3F" w:rsidRDefault="00F30CC1" w:rsidP="00F30CC1">
      <w:pPr>
        <w:numPr>
          <w:ilvl w:val="0"/>
          <w:numId w:val="5"/>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Ensure universal access to sexual and reproductive health and reproductive rights as agreed by the Programme of Action of the International Conference on Population and Development and the Beijing Platform for Action and the outcome documents of their review conferences.</w:t>
      </w:r>
    </w:p>
    <w:p w:rsidR="00F30CC1" w:rsidRPr="000C0D3F" w:rsidRDefault="00F30CC1" w:rsidP="00F30CC1">
      <w:pPr>
        <w:numPr>
          <w:ilvl w:val="0"/>
          <w:numId w:val="5"/>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Undertake reforms to give women equal rights to economic resources, as well as access to ownership and control over land and other forms of property, financial services, inheritance, and natural resources, following national laws.</w:t>
      </w:r>
    </w:p>
    <w:p w:rsidR="00F30CC1" w:rsidRPr="000C0D3F" w:rsidRDefault="00F30CC1" w:rsidP="00F30CC1">
      <w:pPr>
        <w:numPr>
          <w:ilvl w:val="0"/>
          <w:numId w:val="5"/>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Enhance the use of enabling technology, in particular information and communications technology, to promote the empowerment of women.</w:t>
      </w:r>
    </w:p>
    <w:p w:rsidR="00F30CC1" w:rsidRPr="000C0D3F" w:rsidRDefault="00F30CC1" w:rsidP="00F30CC1">
      <w:pPr>
        <w:numPr>
          <w:ilvl w:val="0"/>
          <w:numId w:val="5"/>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Adopt and strengthen sound policies and enforceable legislation for the promotion of gender equality and the empowerment of all women and girls at all levels.</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The UN World Tourism Organization Global Report on Women and Tourism shows the different ways in which tourism can contribute to economic growth, poverty reduction and community development; however, less attention has been paid to the ways in which the benefits of tourism are distributed between men and women, particularly in the developing world.</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The document shows that the employment of women is often concentrated in low status, low paid and precarious jobs in the tourism industry. Gender stereotyping and discrimination mean that women tend to perform jobs such as cooking, cleaning, and hospitality. Much tourism employment is seasonal and fluctuates according to the volatile nature of the industry. In some destinations, links have been found between tourism and the sex industry which could make women more vulnerable to sexual exploitation.</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lastRenderedPageBreak/>
        <w:t>In Latin America, 58.5% of all the employment in tourism is made up by women, 10% more than the global average; in terms of status, 65.5% of all employees in tourism in service workers are women, 62.7% in the case of clerks, but only 36.6% in professional positions, that are often occupied by men.</w:t>
      </w:r>
      <w:r w:rsidRPr="000C0D3F">
        <w:rPr>
          <w:rFonts w:ascii="Times New Roman" w:hAnsi="Times New Roman"/>
          <w:sz w:val="22"/>
          <w:szCs w:val="22"/>
          <w:vertAlign w:val="superscript"/>
        </w:rPr>
        <w:footnoteReference w:id="1"/>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From another perspective, tourism offers women opportunities for global leadership. Women hold more ministerial positions in tourism than in any other field. Nevertheless, in only one in five tourism boards (NTAs) are CEOs women, and only one in four tourism industry associations have a woman chair.</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The capacity of tourism to empower women socially, politically, and economically is particularly relevant in developing regions where women may face the greatest hardships and inequalities and are crucial when developing projects related to biodiversity conservation and sustainable tourism.</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Women are in touch with natural resources like food and livelihood providers, however, despite their role in knowledge and management of natural resources, the needs and roles of women in biodiversity conservation policies and plans are often not considered. To address this, the Conference of the Parties of the Convention on Biological Diversity (CBD) (Republic of Korea, October 2014) recognized the importance of gender considerations for the achievement of the Aichi Goals. Similarly, the States are encouraged to give due consideration to gender issues in their national biodiversity strategies and action plans.</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The CBD emphasizes the conservation of biological diversity and the fair and equitable distribution of the benefits derived from the sustainable use of natural resources.  The incorporation of gender equality is fundamental to achieving CBD objectives since the livelihoods of women and men depend on these natural resources. The CBD, therefore, promotes gender equality through the inclusion of gender considerations in the Convention preamble and through dozens of decisions, which led to the adoption of a Gender Action Plan in 2008 and its update in 2014.</w:t>
      </w:r>
    </w:p>
    <w:p w:rsidR="00F30CC1" w:rsidRPr="000C0D3F" w:rsidRDefault="00F30CC1" w:rsidP="00F30CC1">
      <w:pPr>
        <w:autoSpaceDE w:val="0"/>
        <w:autoSpaceDN w:val="0"/>
        <w:adjustRightInd w:val="0"/>
        <w:spacing w:before="120" w:after="120"/>
        <w:jc w:val="left"/>
        <w:rPr>
          <w:rFonts w:ascii="Times New Roman" w:hAnsi="Times New Roman"/>
          <w:b/>
          <w:sz w:val="22"/>
          <w:szCs w:val="22"/>
        </w:rPr>
      </w:pPr>
      <w:r w:rsidRPr="000C0D3F">
        <w:rPr>
          <w:rFonts w:ascii="Times New Roman" w:hAnsi="Times New Roman"/>
          <w:b/>
          <w:sz w:val="22"/>
          <w:szCs w:val="22"/>
        </w:rPr>
        <w:sym w:font="Wingdings" w:char="F0DC"/>
      </w:r>
      <w:r w:rsidRPr="000C0D3F">
        <w:rPr>
          <w:rFonts w:ascii="Times New Roman" w:hAnsi="Times New Roman"/>
          <w:b/>
          <w:sz w:val="22"/>
          <w:szCs w:val="22"/>
        </w:rPr>
        <w:t>NATIONAL LEGAL FRAMEWORK</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Mexico has established a legal and institutional framework which covers issues of biodiversity (BD), climate change (CC), the environment and its relation to gender, as well as the General Law for Equality between women and men, among other laws. This legal framework demonstrates the relationship between BD and gender issues and seeks to reduce inequality gaps between women and men. By creating laws at the national level and accepting international commitments, Mexico has the responsibility to ensure that they are complied with, guaranteeing the biological heritage for its use, conservation and sustainable use in conditions of equality for women and men.</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Under Mexico’s Constitution, Chapter I: Human Rights and their Guarantees, article 1 paragraph five, states that “any discrimination based on ethnic or national origin, gender, age, disability, social condition, health conditions, religion, opinions, sexual preferences, marital status or any other that threatens dignity is prohibited.”</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In article 2, the constitution recognizes and guarantees the rights and autonomy of the indigenous population, including the dignity and integrity of women and its right of participation in equal conditions as men.</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Article 4 states that man and woman are equal before the law.</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The Planning Law of Mexico (1983, last update 2018) states that planning should be carried out based on the following:</w:t>
      </w:r>
    </w:p>
    <w:p w:rsidR="00F30CC1" w:rsidRPr="000C0D3F" w:rsidRDefault="00F30CC1" w:rsidP="00F30CC1">
      <w:pPr>
        <w:numPr>
          <w:ilvl w:val="1"/>
          <w:numId w:val="2"/>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Equality of rights between women and men, attention to the basic needs of the population and improvement, in all aspects of the quality of life, to achieve a more egalitarian society, guaranteeing an adequate environment for the development of the population.</w:t>
      </w:r>
    </w:p>
    <w:p w:rsidR="00F30CC1" w:rsidRPr="000C0D3F" w:rsidRDefault="00F30CC1" w:rsidP="00F30CC1">
      <w:pPr>
        <w:numPr>
          <w:ilvl w:val="1"/>
          <w:numId w:val="2"/>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Guarantee equality of opportunities between women and men and promote the advancement of women through equitable access to goods, resources, and benefits of development.</w:t>
      </w:r>
    </w:p>
    <w:p w:rsidR="00F30CC1" w:rsidRPr="000C0D3F" w:rsidRDefault="00F30CC1" w:rsidP="00F30CC1">
      <w:pPr>
        <w:numPr>
          <w:ilvl w:val="1"/>
          <w:numId w:val="2"/>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lastRenderedPageBreak/>
        <w:t>They will report on the development and results of the application of economic, social, environmental and cultural policy instruments based on said objectives and priorities, specifying the specific and differential impact they generate on women and men.</w:t>
      </w:r>
    </w:p>
    <w:p w:rsidR="00F30CC1" w:rsidRPr="000C0D3F" w:rsidRDefault="00F30CC1" w:rsidP="00F30CC1">
      <w:pPr>
        <w:numPr>
          <w:ilvl w:val="1"/>
          <w:numId w:val="2"/>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Plan and conduct their activities with a gender perspective.</w:t>
      </w:r>
    </w:p>
    <w:p w:rsidR="00F30CC1" w:rsidRPr="000C0D3F" w:rsidRDefault="00F30CC1" w:rsidP="00F30CC1">
      <w:pPr>
        <w:numPr>
          <w:ilvl w:val="1"/>
          <w:numId w:val="2"/>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National System of Democratic Planning and National Development Plan will incorporate the gender perspective.</w:t>
      </w:r>
    </w:p>
    <w:p w:rsidR="00F30CC1" w:rsidRPr="000C0D3F" w:rsidRDefault="00F30CC1" w:rsidP="00F30CC1">
      <w:pPr>
        <w:numPr>
          <w:ilvl w:val="1"/>
          <w:numId w:val="2"/>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Develop indicators that facilitate the diagnosis of the impact of programs on women and men.</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The General Law for Equality between Women and Men (2006, last update 2018) guarantees equal opportunities, through the adoption of policies, programs, projects and compensatory instruments such as affirmative actions. Article 17 states that “the national policy on equality must consider, among others, the following guidelines:</w:t>
      </w:r>
    </w:p>
    <w:p w:rsidR="00F30CC1" w:rsidRPr="000C0D3F" w:rsidRDefault="00F30CC1" w:rsidP="00F30CC1">
      <w:pPr>
        <w:numPr>
          <w:ilvl w:val="1"/>
          <w:numId w:val="2"/>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Promote equality between women and men in all areas of life.</w:t>
      </w:r>
    </w:p>
    <w:p w:rsidR="00F30CC1" w:rsidRPr="000C0D3F" w:rsidRDefault="00F30CC1" w:rsidP="00F30CC1">
      <w:pPr>
        <w:numPr>
          <w:ilvl w:val="1"/>
          <w:numId w:val="2"/>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Ensure that budget planning incorporates the gender perspective, supports cross-cutting approaches and foresees compliance with projects and actions.</w:t>
      </w:r>
    </w:p>
    <w:p w:rsidR="00F30CC1" w:rsidRPr="000C0D3F" w:rsidRDefault="00F30CC1" w:rsidP="00F30CC1">
      <w:pPr>
        <w:numPr>
          <w:ilvl w:val="1"/>
          <w:numId w:val="2"/>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Promote the elimination of established stereotypes based on sex.</w:t>
      </w:r>
    </w:p>
    <w:p w:rsidR="00F30CC1" w:rsidRPr="000C0D3F" w:rsidRDefault="00F30CC1" w:rsidP="00F30CC1">
      <w:pPr>
        <w:numPr>
          <w:ilvl w:val="1"/>
          <w:numId w:val="2"/>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Adopt the means necessary to eradicate violence against women.”</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The legal framework in terms of Ecology in Mexico (Ley General del Equilibrio Ecológico y Protección al Ambiente 1988, last update 2018) states, in its Article 15 that “Women play an important role in the protection, preservation and sustainable use of natural resources and development. The full participation of women is essential to achieve sustainable development.”</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 xml:space="preserve">The legal framework in terms of Tourism in Mexico (Ley General de Turismo, 2009, last update 2018) states in its Article VII states emphasizes safeguarding gender equality in the implementation and application of tourism support and promotion policies. The Ministry of Tourism in Mexico (SECTUR) has a Gender Equality Unit, under the responsibility of the Under-secretariat of Tourism Planning &amp; Policy, that works in 4 axes: </w:t>
      </w:r>
    </w:p>
    <w:p w:rsidR="00F30CC1" w:rsidRPr="000C0D3F" w:rsidRDefault="00F30CC1" w:rsidP="00F30CC1">
      <w:pPr>
        <w:numPr>
          <w:ilvl w:val="0"/>
          <w:numId w:val="3"/>
        </w:numPr>
        <w:spacing w:before="120" w:after="120" w:line="259" w:lineRule="auto"/>
        <w:contextualSpacing/>
        <w:jc w:val="left"/>
        <w:rPr>
          <w:rFonts w:ascii="Times New Roman" w:hAnsi="Times New Roman"/>
          <w:sz w:val="22"/>
          <w:szCs w:val="22"/>
        </w:rPr>
      </w:pPr>
      <w:bookmarkStart w:id="0" w:name="_Ref2243380"/>
      <w:r w:rsidRPr="000C0D3F">
        <w:rPr>
          <w:rFonts w:ascii="Times New Roman" w:hAnsi="Times New Roman"/>
          <w:sz w:val="22"/>
          <w:szCs w:val="22"/>
        </w:rPr>
        <w:t>Empowering women</w:t>
      </w:r>
      <w:bookmarkEnd w:id="0"/>
    </w:p>
    <w:p w:rsidR="00F30CC1" w:rsidRPr="000C0D3F" w:rsidRDefault="00F30CC1" w:rsidP="00F30CC1">
      <w:pPr>
        <w:numPr>
          <w:ilvl w:val="0"/>
          <w:numId w:val="3"/>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Prevention of sexual exploitation in girls, boys, and adolescents</w:t>
      </w:r>
    </w:p>
    <w:p w:rsidR="00F30CC1" w:rsidRPr="000C0D3F" w:rsidRDefault="00F30CC1" w:rsidP="00F30CC1">
      <w:pPr>
        <w:numPr>
          <w:ilvl w:val="0"/>
          <w:numId w:val="3"/>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Prevention of child labor</w:t>
      </w:r>
    </w:p>
    <w:p w:rsidR="00F30CC1" w:rsidRPr="000C0D3F" w:rsidRDefault="00F30CC1" w:rsidP="00F30CC1">
      <w:pPr>
        <w:numPr>
          <w:ilvl w:val="0"/>
          <w:numId w:val="3"/>
        </w:numPr>
        <w:spacing w:before="120" w:after="120" w:line="259" w:lineRule="auto"/>
        <w:contextualSpacing/>
        <w:jc w:val="left"/>
        <w:rPr>
          <w:rFonts w:ascii="Times New Roman" w:hAnsi="Times New Roman"/>
          <w:sz w:val="22"/>
          <w:szCs w:val="22"/>
        </w:rPr>
      </w:pPr>
      <w:r w:rsidRPr="000C0D3F">
        <w:rPr>
          <w:rFonts w:ascii="Times New Roman" w:hAnsi="Times New Roman"/>
          <w:sz w:val="22"/>
          <w:szCs w:val="22"/>
        </w:rPr>
        <w:t>Creation of a gender culture in the Ministry of Tourism</w:t>
      </w:r>
      <w:r w:rsidRPr="000C0D3F">
        <w:rPr>
          <w:rFonts w:ascii="Times New Roman" w:hAnsi="Times New Roman"/>
          <w:sz w:val="22"/>
          <w:szCs w:val="22"/>
          <w:vertAlign w:val="superscript"/>
        </w:rPr>
        <w:footnoteReference w:id="2"/>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The Climate Change Law in Mexico (2012, last update 2018), in its Article 26 on the formulation of the National Climate Change Policy, states that “When adopting measures to face climate change, human rights, the right to health, the rights of indigenous peoples, local communities, migrants, children, persons with disabilities and people in situations, of vulnerability and the right to development, as well as gender equality, the empowerment of women and intergenerational equity must be respected unrestrictedly.”</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In its Article 71, related to the State Programs of Climate Change states that “the programs of the States (subnational programs) will be developed at the beginning of each administration, always seeking gender equity and representation of the populations most vulnerable to climate change, indigenous peoples, persons with disabilities, academics and researchers.”</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The law of Climate Change in Mexico (2012, last update 2018), in its article 26, about the formulation of the National Climate Change Policy states that “When adopting measures to face climate change, human rights, the right to health, the rights of indigenous peoples, local communities, migrants, children, persons with disabilities and people in situations, of vulnerability and the right to development, as well as gender equality, the empowerment of women and intergenerational equity must be respected unrestrictedly”</w:t>
      </w:r>
    </w:p>
    <w:p w:rsidR="00F30CC1" w:rsidRPr="000C0D3F" w:rsidRDefault="00F30CC1" w:rsidP="00F30CC1">
      <w:pPr>
        <w:spacing w:before="120" w:after="120"/>
        <w:rPr>
          <w:rFonts w:ascii="Times New Roman" w:hAnsi="Times New Roman"/>
          <w:sz w:val="22"/>
          <w:szCs w:val="22"/>
        </w:rPr>
      </w:pPr>
      <w:r w:rsidRPr="000C0D3F">
        <w:rPr>
          <w:rFonts w:ascii="Times New Roman" w:hAnsi="Times New Roman"/>
          <w:sz w:val="22"/>
          <w:szCs w:val="22"/>
        </w:rPr>
        <w:t>On its Article 71, related to the State Programs of Climate Change states that “the programs of the States (subnational programs) will be developed at the beginning of each administration, always seeking gender equity and representation of the populations most vulnerable to climate change, indigenous peoples, persons with disabilities, academics and researchers.”</w:t>
      </w:r>
    </w:p>
    <w:p w:rsidR="00F30CC1" w:rsidRPr="000C0D3F" w:rsidRDefault="00F30CC1" w:rsidP="00F30CC1">
      <w:pPr>
        <w:autoSpaceDE w:val="0"/>
        <w:autoSpaceDN w:val="0"/>
        <w:adjustRightInd w:val="0"/>
        <w:spacing w:before="120" w:after="120"/>
        <w:jc w:val="left"/>
        <w:rPr>
          <w:rFonts w:ascii="Times New Roman" w:hAnsi="Times New Roman"/>
          <w:sz w:val="22"/>
          <w:szCs w:val="22"/>
        </w:rPr>
      </w:pPr>
      <w:bookmarkStart w:id="1" w:name="_Hlk2936100"/>
      <w:r w:rsidRPr="000C0D3F">
        <w:rPr>
          <w:rFonts w:ascii="Times New Roman" w:hAnsi="Times New Roman"/>
          <w:sz w:val="22"/>
          <w:szCs w:val="22"/>
        </w:rPr>
        <w:sym w:font="Wingdings" w:char="F0DC"/>
      </w:r>
      <w:bookmarkEnd w:id="1"/>
      <w:r w:rsidRPr="000C0D3F">
        <w:rPr>
          <w:rFonts w:ascii="Times New Roman" w:hAnsi="Times New Roman"/>
          <w:sz w:val="22"/>
          <w:szCs w:val="22"/>
        </w:rPr>
        <w:t>PROGRAMMATIC INSTRUMENTS</w:t>
      </w:r>
    </w:p>
    <w:p w:rsidR="00F30CC1" w:rsidRPr="000C0D3F" w:rsidRDefault="00F30CC1" w:rsidP="00F30CC1">
      <w:pPr>
        <w:autoSpaceDE w:val="0"/>
        <w:autoSpaceDN w:val="0"/>
        <w:adjustRightInd w:val="0"/>
        <w:spacing w:before="120" w:after="120"/>
        <w:rPr>
          <w:rFonts w:ascii="Times New Roman" w:hAnsi="Times New Roman"/>
          <w:sz w:val="22"/>
          <w:szCs w:val="22"/>
        </w:rPr>
      </w:pPr>
      <w:r w:rsidRPr="000C0D3F">
        <w:rPr>
          <w:rFonts w:ascii="Times New Roman" w:hAnsi="Times New Roman"/>
          <w:sz w:val="22"/>
          <w:szCs w:val="22"/>
        </w:rPr>
        <w:lastRenderedPageBreak/>
        <w:t>The main plans and programs related to the components of the GEF Tourism Project have integrated gender equality as follow:</w:t>
      </w:r>
    </w:p>
    <w:p w:rsidR="00F30CC1" w:rsidRPr="000C0D3F" w:rsidRDefault="00F30CC1" w:rsidP="00F30CC1">
      <w:pPr>
        <w:autoSpaceDE w:val="0"/>
        <w:autoSpaceDN w:val="0"/>
        <w:adjustRightInd w:val="0"/>
        <w:spacing w:before="120" w:after="120"/>
        <w:rPr>
          <w:rFonts w:ascii="Times New Roman" w:hAnsi="Times New Roman"/>
          <w:sz w:val="22"/>
          <w:szCs w:val="22"/>
        </w:rPr>
      </w:pPr>
      <w:r w:rsidRPr="000C0D3F">
        <w:rPr>
          <w:rFonts w:ascii="Times New Roman" w:hAnsi="Times New Roman"/>
          <w:sz w:val="22"/>
          <w:szCs w:val="22"/>
        </w:rPr>
        <w:t xml:space="preserve">Mexico’s National Strategy on Biodiversity and Action Plan (NBASP) 2016 – 2030 includes women’s and gender considerations within its main strategic goals. Five of the six strategic goals advance women’s participation in projects, take women’s traditional resource knowledge into consideration or promote a gender perspective in BD conservation and education. Gender-related activities and perspectives are addressed across the NBSAP, including in indicators and the monitoring and evaluation system. </w:t>
      </w:r>
    </w:p>
    <w:p w:rsidR="00F30CC1" w:rsidRPr="000C0D3F" w:rsidRDefault="00F30CC1" w:rsidP="00F30CC1">
      <w:pPr>
        <w:autoSpaceDE w:val="0"/>
        <w:autoSpaceDN w:val="0"/>
        <w:adjustRightInd w:val="0"/>
        <w:spacing w:before="120" w:after="120"/>
        <w:rPr>
          <w:rFonts w:ascii="Times New Roman" w:hAnsi="Times New Roman"/>
          <w:sz w:val="22"/>
          <w:szCs w:val="22"/>
        </w:rPr>
      </w:pPr>
      <w:r w:rsidRPr="000C0D3F">
        <w:rPr>
          <w:rFonts w:ascii="Times New Roman" w:hAnsi="Times New Roman"/>
          <w:sz w:val="22"/>
          <w:szCs w:val="22"/>
        </w:rPr>
        <w:t>The Strategy for Biodiversity Mainstreaming in the Tourism Sector (2016-2022), in the axis of Participation, includes a strategic line that aims to “establish, update and implement ongoing awareness and training programs on biodiversity and climate change (with a gender and intercultural approach), to encourage the development of capacities in decision makers, generators and executors of public policy and the different groups and social sectors.”</w:t>
      </w:r>
    </w:p>
    <w:p w:rsidR="00F30CC1" w:rsidRPr="000C0D3F" w:rsidRDefault="00F30CC1" w:rsidP="00F30CC1">
      <w:pPr>
        <w:autoSpaceDE w:val="0"/>
        <w:autoSpaceDN w:val="0"/>
        <w:adjustRightInd w:val="0"/>
        <w:spacing w:after="0"/>
        <w:rPr>
          <w:rFonts w:ascii="Times New Roman" w:hAnsi="Times New Roman"/>
          <w:sz w:val="22"/>
          <w:szCs w:val="22"/>
        </w:rPr>
      </w:pPr>
      <w:r w:rsidRPr="000C0D3F">
        <w:rPr>
          <w:rFonts w:ascii="Times New Roman" w:hAnsi="Times New Roman"/>
          <w:sz w:val="22"/>
          <w:szCs w:val="22"/>
        </w:rPr>
        <w:t>The new Tourism Strategy 2019 – 2024, presented on 24 February 2019, does not include any reference to gender. The development of the new National Tourism Plan in the coming months will be key to define a gender strategy for the tourism sector for upcoming years.</w:t>
      </w:r>
    </w:p>
    <w:p w:rsidR="00F30CC1" w:rsidRPr="000C0D3F" w:rsidRDefault="00F30CC1" w:rsidP="00F30CC1">
      <w:pPr>
        <w:autoSpaceDE w:val="0"/>
        <w:autoSpaceDN w:val="0"/>
        <w:adjustRightInd w:val="0"/>
        <w:spacing w:before="120" w:after="120"/>
        <w:rPr>
          <w:rFonts w:ascii="Times New Roman" w:hAnsi="Times New Roman"/>
          <w:sz w:val="22"/>
          <w:szCs w:val="22"/>
        </w:rPr>
      </w:pPr>
      <w:r w:rsidRPr="000C0D3F">
        <w:rPr>
          <w:rFonts w:ascii="Times New Roman" w:hAnsi="Times New Roman"/>
          <w:sz w:val="22"/>
          <w:szCs w:val="22"/>
        </w:rPr>
        <w:t>UNDP prioritizes gender mainstreaming in all actions. The new gender equality strategy for 2018-2021 delineates how the Program will work across the outcomes of the UNDP Strategic Plan to mainstream gender equality throughout its work. In particular, it outlines four priorities: 1) Removing structural barriers to women’s economic empowerment, including women’s disproportionate burden of unpaid work; 2) Preventing and responding to gender-based violence; 3)   Promoting women’s participation and leadership in all forms of decision making; and 4) Strengthening gender-responsive strategies in crises (conflicts and disaster) prevention, preparedness, and recovery. This GEF project will contribute to priorities 1 and 3.</w:t>
      </w:r>
    </w:p>
    <w:p w:rsidR="00F30CC1" w:rsidRPr="000C0D3F" w:rsidRDefault="00F30CC1" w:rsidP="00F30CC1">
      <w:pPr>
        <w:autoSpaceDE w:val="0"/>
        <w:autoSpaceDN w:val="0"/>
        <w:adjustRightInd w:val="0"/>
        <w:spacing w:before="120" w:after="120"/>
        <w:rPr>
          <w:rFonts w:ascii="Times New Roman" w:hAnsi="Times New Roman"/>
          <w:sz w:val="22"/>
          <w:szCs w:val="22"/>
        </w:rPr>
      </w:pPr>
      <w:r w:rsidRPr="000C0D3F">
        <w:rPr>
          <w:rFonts w:ascii="Times New Roman" w:hAnsi="Times New Roman"/>
          <w:sz w:val="22"/>
          <w:szCs w:val="22"/>
        </w:rPr>
        <w:t>The GEF Council has recently approved a New Policy on Gender Equality (2017) that established the purpose “to address gender inequality and support women’s empowerment where these can help achieve global environmental benefits. Targeting gender gaps in areas such as access to and control over natural resources, access to benefits and services, and participation and decision-making could, for example, help unleash women’s potential as key agents of change.”</w:t>
      </w:r>
      <w:r w:rsidRPr="000C0D3F">
        <w:rPr>
          <w:rFonts w:ascii="Times New Roman" w:hAnsi="Times New Roman"/>
          <w:sz w:val="22"/>
          <w:szCs w:val="22"/>
          <w:vertAlign w:val="superscript"/>
        </w:rPr>
        <w:footnoteReference w:id="3"/>
      </w:r>
      <w:r w:rsidRPr="000C0D3F">
        <w:rPr>
          <w:rFonts w:ascii="Times New Roman" w:hAnsi="Times New Roman"/>
          <w:sz w:val="22"/>
          <w:szCs w:val="22"/>
        </w:rPr>
        <w:t xml:space="preserve"> </w:t>
      </w:r>
    </w:p>
    <w:p w:rsidR="00F30CC1" w:rsidRPr="000C0D3F" w:rsidRDefault="00F30CC1" w:rsidP="00F30CC1">
      <w:pPr>
        <w:autoSpaceDE w:val="0"/>
        <w:autoSpaceDN w:val="0"/>
        <w:adjustRightInd w:val="0"/>
        <w:spacing w:before="120" w:after="120"/>
        <w:rPr>
          <w:rFonts w:ascii="Times New Roman" w:hAnsi="Times New Roman"/>
          <w:sz w:val="22"/>
          <w:szCs w:val="22"/>
        </w:rPr>
      </w:pPr>
    </w:p>
    <w:p w:rsidR="00F30CC1" w:rsidRPr="000C0D3F" w:rsidRDefault="00F30CC1" w:rsidP="00F30CC1">
      <w:pPr>
        <w:spacing w:before="120" w:after="120"/>
        <w:contextualSpacing/>
        <w:jc w:val="left"/>
        <w:rPr>
          <w:rFonts w:ascii="Times New Roman" w:hAnsi="Times New Roman"/>
          <w:sz w:val="22"/>
          <w:szCs w:val="22"/>
        </w:rPr>
      </w:pPr>
      <w:bookmarkStart w:id="2" w:name="_Hlk2940833"/>
      <w:r w:rsidRPr="000C0D3F">
        <w:rPr>
          <w:rFonts w:ascii="Times New Roman" w:hAnsi="Times New Roman"/>
          <w:sz w:val="22"/>
          <w:szCs w:val="22"/>
        </w:rPr>
        <w:sym w:font="Wingdings" w:char="F0DC"/>
      </w:r>
      <w:bookmarkEnd w:id="2"/>
      <w:r w:rsidRPr="000C0D3F">
        <w:rPr>
          <w:rFonts w:ascii="Times New Roman" w:hAnsi="Times New Roman"/>
          <w:sz w:val="22"/>
          <w:szCs w:val="22"/>
        </w:rPr>
        <w:t>NATIONAL CONTEXT ON GENDER</w:t>
      </w:r>
    </w:p>
    <w:p w:rsidR="00F30CC1" w:rsidRPr="000C0D3F" w:rsidRDefault="00F30CC1" w:rsidP="00F30CC1">
      <w:pPr>
        <w:autoSpaceDE w:val="0"/>
        <w:autoSpaceDN w:val="0"/>
        <w:adjustRightInd w:val="0"/>
        <w:spacing w:before="120" w:after="120"/>
        <w:rPr>
          <w:rFonts w:ascii="Times New Roman" w:hAnsi="Times New Roman"/>
          <w:sz w:val="22"/>
          <w:szCs w:val="22"/>
        </w:rPr>
      </w:pPr>
      <w:r w:rsidRPr="000C0D3F">
        <w:rPr>
          <w:rFonts w:ascii="Times New Roman" w:hAnsi="Times New Roman"/>
          <w:sz w:val="22"/>
          <w:szCs w:val="22"/>
        </w:rPr>
        <w:t>With a population of over 123 million in 2017, Mexico ranks as the 11th most populated country in the world. It is the most populous Spanish-speaking country and the third-most populous in the Americas after the United States and Brazil. More than half (51.2%) of the population in Mexico are women.</w:t>
      </w:r>
    </w:p>
    <w:p w:rsidR="00F30CC1" w:rsidRPr="009836BE" w:rsidRDefault="00F30CC1" w:rsidP="00F30CC1">
      <w:pPr>
        <w:autoSpaceDE w:val="0"/>
        <w:autoSpaceDN w:val="0"/>
        <w:adjustRightInd w:val="0"/>
        <w:spacing w:before="120" w:after="120"/>
        <w:rPr>
          <w:rFonts w:ascii="Calibri Light" w:hAnsi="Calibri Light" w:cs="Calibri Light"/>
          <w:sz w:val="22"/>
          <w:szCs w:val="22"/>
        </w:rPr>
      </w:pPr>
      <w:r w:rsidRPr="009836BE">
        <w:rPr>
          <w:rFonts w:ascii="Calibri Light" w:hAnsi="Calibri Light" w:cs="Calibri Light"/>
          <w:noProof/>
          <w:sz w:val="22"/>
          <w:szCs w:val="22"/>
        </w:rPr>
        <w:lastRenderedPageBreak/>
        <w:drawing>
          <wp:inline distT="0" distB="0" distL="0" distR="0" wp14:anchorId="756A739C" wp14:editId="0FE2185E">
            <wp:extent cx="5943600" cy="3793490"/>
            <wp:effectExtent l="0" t="0" r="0" b="381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3793490"/>
                    </a:xfrm>
                    <a:prstGeom prst="rect">
                      <a:avLst/>
                    </a:prstGeom>
                  </pic:spPr>
                </pic:pic>
              </a:graphicData>
            </a:graphic>
          </wp:inline>
        </w:drawing>
      </w:r>
    </w:p>
    <w:p w:rsidR="00F30CC1" w:rsidRPr="009B0B4D" w:rsidRDefault="00F30CC1" w:rsidP="00F30CC1">
      <w:pPr>
        <w:autoSpaceDE w:val="0"/>
        <w:autoSpaceDN w:val="0"/>
        <w:adjustRightInd w:val="0"/>
        <w:spacing w:before="120" w:after="120"/>
        <w:rPr>
          <w:rFonts w:ascii="Times New Roman" w:hAnsi="Times New Roman"/>
          <w:sz w:val="22"/>
          <w:szCs w:val="22"/>
        </w:rPr>
      </w:pPr>
      <w:r w:rsidRPr="009B0B4D">
        <w:rPr>
          <w:rFonts w:ascii="Times New Roman" w:hAnsi="Times New Roman"/>
          <w:sz w:val="22"/>
          <w:szCs w:val="22"/>
        </w:rPr>
        <w:t>Increasing numbers of women are entering the workforce in Mexico, and this growth has played a major role in helping to reduce poverty. In Mexico, in 2016, 62.2% of the population aged 15 years and older participated in the labor force, and 45.5% of women were in the labor force compared to 79.5% of men</w:t>
      </w:r>
      <w:r w:rsidRPr="009B0B4D">
        <w:rPr>
          <w:rFonts w:ascii="Times New Roman" w:hAnsi="Times New Roman"/>
          <w:sz w:val="22"/>
          <w:szCs w:val="22"/>
          <w:vertAlign w:val="superscript"/>
        </w:rPr>
        <w:footnoteReference w:id="4"/>
      </w:r>
      <w:r w:rsidRPr="009B0B4D">
        <w:rPr>
          <w:rFonts w:ascii="Times New Roman" w:hAnsi="Times New Roman"/>
          <w:sz w:val="22"/>
          <w:szCs w:val="22"/>
        </w:rPr>
        <w:t>.</w:t>
      </w:r>
    </w:p>
    <w:p w:rsidR="00F30CC1" w:rsidRPr="009B0B4D" w:rsidRDefault="00F30CC1" w:rsidP="00F30CC1">
      <w:pPr>
        <w:autoSpaceDE w:val="0"/>
        <w:autoSpaceDN w:val="0"/>
        <w:adjustRightInd w:val="0"/>
        <w:spacing w:before="120" w:after="120"/>
        <w:rPr>
          <w:rFonts w:ascii="Times New Roman" w:hAnsi="Times New Roman"/>
          <w:sz w:val="22"/>
          <w:szCs w:val="22"/>
        </w:rPr>
      </w:pPr>
      <w:r w:rsidRPr="009B0B4D">
        <w:rPr>
          <w:rFonts w:ascii="Times New Roman" w:hAnsi="Times New Roman"/>
          <w:sz w:val="22"/>
          <w:szCs w:val="22"/>
        </w:rPr>
        <w:t>However, almost 40% of young Mexican women are neither in employment nor in education or training, the second highest rate among OECD countries after Turkey; Mexico’s informal economy employs over one-third of the entire workforce. While investment in the education of girls has increased, many of them do not enter the labor market or do so only for short periods. The share of female students that do not pursue a university education in science, technology, and mathematics is even lower than that of their male counterparts; in 2014, 30% of women were enrolled in tertiary education within five years of completing secondary school.</w:t>
      </w:r>
      <w:r w:rsidRPr="009B0B4D">
        <w:rPr>
          <w:rFonts w:ascii="Times New Roman" w:hAnsi="Times New Roman"/>
          <w:sz w:val="22"/>
          <w:szCs w:val="22"/>
          <w:vertAlign w:val="superscript"/>
        </w:rPr>
        <w:footnoteReference w:id="5"/>
      </w:r>
      <w:r w:rsidRPr="009B0B4D">
        <w:rPr>
          <w:rFonts w:ascii="Times New Roman" w:hAnsi="Times New Roman"/>
          <w:sz w:val="22"/>
          <w:szCs w:val="22"/>
        </w:rPr>
        <w:t xml:space="preserve"> In 2015, women graduates from tertiary education programs were as follows:</w:t>
      </w:r>
    </w:p>
    <w:p w:rsidR="00F30CC1" w:rsidRPr="009B0B4D" w:rsidRDefault="00F30CC1" w:rsidP="00F30CC1">
      <w:pPr>
        <w:numPr>
          <w:ilvl w:val="0"/>
          <w:numId w:val="4"/>
        </w:numPr>
        <w:autoSpaceDE w:val="0"/>
        <w:autoSpaceDN w:val="0"/>
        <w:adjustRightInd w:val="0"/>
        <w:spacing w:before="120" w:after="120" w:line="259" w:lineRule="auto"/>
        <w:contextualSpacing/>
        <w:jc w:val="left"/>
        <w:rPr>
          <w:rFonts w:ascii="Times New Roman" w:hAnsi="Times New Roman"/>
          <w:sz w:val="22"/>
          <w:szCs w:val="22"/>
        </w:rPr>
      </w:pPr>
      <w:r w:rsidRPr="009B0B4D">
        <w:rPr>
          <w:rFonts w:ascii="Times New Roman" w:hAnsi="Times New Roman"/>
          <w:sz w:val="22"/>
          <w:szCs w:val="22"/>
        </w:rPr>
        <w:t>28.3% in engineering, manufacturing, and construction.</w:t>
      </w:r>
    </w:p>
    <w:p w:rsidR="00F30CC1" w:rsidRPr="009B0B4D" w:rsidRDefault="00F30CC1" w:rsidP="00F30CC1">
      <w:pPr>
        <w:numPr>
          <w:ilvl w:val="0"/>
          <w:numId w:val="4"/>
        </w:numPr>
        <w:autoSpaceDE w:val="0"/>
        <w:autoSpaceDN w:val="0"/>
        <w:adjustRightInd w:val="0"/>
        <w:spacing w:before="120" w:after="120" w:line="259" w:lineRule="auto"/>
        <w:contextualSpacing/>
        <w:jc w:val="left"/>
        <w:rPr>
          <w:rFonts w:ascii="Times New Roman" w:hAnsi="Times New Roman"/>
          <w:sz w:val="22"/>
          <w:szCs w:val="22"/>
        </w:rPr>
      </w:pPr>
      <w:r w:rsidRPr="009B0B4D">
        <w:rPr>
          <w:rFonts w:ascii="Times New Roman" w:hAnsi="Times New Roman"/>
          <w:sz w:val="22"/>
          <w:szCs w:val="22"/>
        </w:rPr>
        <w:t>52.6% in the natural sciences, mathematics, and statistics.</w:t>
      </w:r>
    </w:p>
    <w:p w:rsidR="00F30CC1" w:rsidRPr="009B0B4D" w:rsidRDefault="00F30CC1" w:rsidP="00F30CC1">
      <w:pPr>
        <w:numPr>
          <w:ilvl w:val="0"/>
          <w:numId w:val="4"/>
        </w:numPr>
        <w:autoSpaceDE w:val="0"/>
        <w:autoSpaceDN w:val="0"/>
        <w:adjustRightInd w:val="0"/>
        <w:spacing w:before="120" w:after="120" w:line="259" w:lineRule="auto"/>
        <w:contextualSpacing/>
        <w:jc w:val="left"/>
        <w:rPr>
          <w:rFonts w:ascii="Times New Roman" w:hAnsi="Times New Roman"/>
          <w:sz w:val="22"/>
          <w:szCs w:val="22"/>
        </w:rPr>
      </w:pPr>
      <w:r w:rsidRPr="009B0B4D">
        <w:rPr>
          <w:rFonts w:ascii="Times New Roman" w:hAnsi="Times New Roman"/>
          <w:sz w:val="22"/>
          <w:szCs w:val="22"/>
        </w:rPr>
        <w:t>55.9% in business, administration, and law.</w:t>
      </w:r>
      <w:r w:rsidRPr="009B0B4D">
        <w:rPr>
          <w:rFonts w:ascii="Times New Roman" w:hAnsi="Times New Roman"/>
          <w:sz w:val="22"/>
          <w:szCs w:val="22"/>
          <w:vertAlign w:val="superscript"/>
        </w:rPr>
        <w:footnoteReference w:id="6"/>
      </w:r>
    </w:p>
    <w:p w:rsidR="00F30CC1" w:rsidRPr="009B0B4D" w:rsidRDefault="00F30CC1" w:rsidP="00F30CC1">
      <w:pPr>
        <w:autoSpaceDE w:val="0"/>
        <w:autoSpaceDN w:val="0"/>
        <w:adjustRightInd w:val="0"/>
        <w:spacing w:before="120" w:after="120"/>
        <w:rPr>
          <w:rFonts w:ascii="Times New Roman" w:hAnsi="Times New Roman"/>
          <w:sz w:val="22"/>
          <w:szCs w:val="22"/>
        </w:rPr>
      </w:pPr>
      <w:r w:rsidRPr="009B0B4D">
        <w:rPr>
          <w:rFonts w:ascii="Times New Roman" w:hAnsi="Times New Roman"/>
          <w:sz w:val="22"/>
          <w:szCs w:val="22"/>
        </w:rPr>
        <w:t>Like most countries, Mexico suffers not only from vertical segregation but also horizontal segregation, where 45% of women officers are human resources directors, and only 5% of them hold management positions in production. Statistics from the World Bank and Mexico’s International Labour Office show that women represent 40% of those employed in the non-agricultural labor force. In 2020, women are projected to be 38% of the total labor force (22,704,200).</w:t>
      </w:r>
    </w:p>
    <w:p w:rsidR="00F30CC1" w:rsidRPr="009B0B4D" w:rsidRDefault="00F30CC1" w:rsidP="00F30CC1">
      <w:pPr>
        <w:autoSpaceDE w:val="0"/>
        <w:autoSpaceDN w:val="0"/>
        <w:adjustRightInd w:val="0"/>
        <w:spacing w:before="120" w:after="120"/>
        <w:rPr>
          <w:rFonts w:ascii="Times New Roman" w:hAnsi="Times New Roman"/>
          <w:sz w:val="22"/>
          <w:szCs w:val="22"/>
        </w:rPr>
      </w:pPr>
      <w:r w:rsidRPr="009B0B4D">
        <w:rPr>
          <w:rFonts w:ascii="Times New Roman" w:hAnsi="Times New Roman"/>
          <w:sz w:val="22"/>
          <w:szCs w:val="22"/>
        </w:rPr>
        <w:t>As for women in corporate leadership positions, fewer than 6% of board seats are held by women, according to a recent survey of Mexican corporations, and only 14.6% of firms have women in top management roles; women earn on average 49% less than men for doing similar work.</w:t>
      </w:r>
      <w:r w:rsidRPr="009B0B4D">
        <w:rPr>
          <w:rFonts w:ascii="Times New Roman" w:hAnsi="Times New Roman"/>
          <w:sz w:val="22"/>
          <w:szCs w:val="22"/>
          <w:vertAlign w:val="superscript"/>
        </w:rPr>
        <w:footnoteReference w:id="7"/>
      </w:r>
      <w:r w:rsidRPr="009B0B4D">
        <w:rPr>
          <w:rFonts w:ascii="Times New Roman" w:hAnsi="Times New Roman"/>
          <w:sz w:val="22"/>
          <w:szCs w:val="22"/>
        </w:rPr>
        <w:t xml:space="preserve"> In the same corporations, women hold 18% of senior management positions, while in the public sector they hold over 20% of those positions. </w:t>
      </w:r>
    </w:p>
    <w:p w:rsidR="00F30CC1" w:rsidRPr="009B0B4D" w:rsidRDefault="00F30CC1" w:rsidP="00F30CC1">
      <w:pPr>
        <w:autoSpaceDE w:val="0"/>
        <w:autoSpaceDN w:val="0"/>
        <w:adjustRightInd w:val="0"/>
        <w:spacing w:before="120" w:after="120"/>
        <w:rPr>
          <w:rFonts w:ascii="Times New Roman" w:hAnsi="Times New Roman"/>
          <w:sz w:val="22"/>
          <w:szCs w:val="22"/>
        </w:rPr>
      </w:pPr>
      <w:r w:rsidRPr="009B0B4D">
        <w:rPr>
          <w:rFonts w:ascii="Times New Roman" w:hAnsi="Times New Roman"/>
          <w:sz w:val="22"/>
          <w:szCs w:val="22"/>
        </w:rPr>
        <w:t xml:space="preserve">According to the Ministry of Tourism, six of every 10 jobs in the sector are held by women, but this does not happen at the high level of remuneration; it is estimated that women exercise 57% of tourist </w:t>
      </w:r>
      <w:r w:rsidRPr="009B0B4D">
        <w:rPr>
          <w:rFonts w:ascii="Times New Roman" w:hAnsi="Times New Roman"/>
          <w:sz w:val="22"/>
          <w:szCs w:val="22"/>
        </w:rPr>
        <w:lastRenderedPageBreak/>
        <w:t xml:space="preserve">employment, but the figure does not correspond to higher income positions. In the rural sector, ecotourism projects are regularly managed by men, who take part in councils and make decisions, while women are oftentimes engaged in doing jobs such as cooking or cleaning as an extension of their domestic work. </w:t>
      </w:r>
    </w:p>
    <w:p w:rsidR="00F30CC1" w:rsidRPr="009B0B4D" w:rsidRDefault="00F30CC1" w:rsidP="00F30CC1">
      <w:pPr>
        <w:autoSpaceDE w:val="0"/>
        <w:autoSpaceDN w:val="0"/>
        <w:adjustRightInd w:val="0"/>
        <w:spacing w:before="120" w:after="120"/>
        <w:rPr>
          <w:rFonts w:ascii="Times New Roman" w:hAnsi="Times New Roman"/>
          <w:sz w:val="22"/>
          <w:szCs w:val="22"/>
        </w:rPr>
      </w:pPr>
      <w:r w:rsidRPr="009B0B4D">
        <w:rPr>
          <w:rFonts w:ascii="Times New Roman" w:hAnsi="Times New Roman"/>
          <w:sz w:val="22"/>
          <w:szCs w:val="22"/>
        </w:rPr>
        <w:t>The general context of the pilot sites with regards to gender is the following:</w:t>
      </w:r>
    </w:p>
    <w:p w:rsidR="00F30CC1" w:rsidRPr="009B0B4D" w:rsidRDefault="00F30CC1" w:rsidP="00F30CC1">
      <w:pPr>
        <w:shd w:val="clear" w:color="auto" w:fill="FFFFFF"/>
        <w:spacing w:before="120" w:beforeAutospacing="1" w:after="120" w:afterAutospacing="1"/>
        <w:rPr>
          <w:rFonts w:ascii="Times New Roman" w:hAnsi="Times New Roman"/>
          <w:b/>
          <w:sz w:val="22"/>
          <w:szCs w:val="22"/>
          <w:lang w:val="es-MX"/>
        </w:rPr>
      </w:pPr>
      <w:r w:rsidRPr="009B0B4D">
        <w:rPr>
          <w:rFonts w:ascii="Times New Roman" w:hAnsi="Times New Roman"/>
          <w:b/>
          <w:sz w:val="22"/>
          <w:szCs w:val="22"/>
          <w:lang w:val="es-MX"/>
        </w:rPr>
        <w:t xml:space="preserve">Quintana Roo- Maya Ka'an (municipalities de Tulum, Felipe Carrillo Puerto, and José María Morelos) </w:t>
      </w:r>
    </w:p>
    <w:p w:rsidR="00F30CC1" w:rsidRPr="009B0B4D" w:rsidRDefault="00F30CC1" w:rsidP="00F30CC1">
      <w:pPr>
        <w:shd w:val="clear" w:color="auto" w:fill="FFFFFF"/>
        <w:spacing w:before="120" w:beforeAutospacing="1" w:after="120" w:afterAutospacing="1"/>
        <w:rPr>
          <w:rFonts w:ascii="Times New Roman" w:hAnsi="Times New Roman"/>
          <w:sz w:val="22"/>
          <w:szCs w:val="22"/>
        </w:rPr>
      </w:pPr>
      <w:r w:rsidRPr="009B0B4D">
        <w:rPr>
          <w:rFonts w:ascii="Times New Roman" w:hAnsi="Times New Roman"/>
          <w:sz w:val="22"/>
          <w:szCs w:val="22"/>
        </w:rPr>
        <w:t>Maya Ka'an includes three municipalities Tulum, Felipe Carrillo Puerto, and José María Morelos; the total population is 151,959 of which 74,097 (48.76%) are women, and 76,861 are men (50.58%). The total population of Tulum is 32,714 of which 15,589 (47.65%) are women, and 17,125 are men (52.35%). According to the 2015 Intercensus Survey, 59.7% of the total population of the municipality is considered as Economically Active Population (EAP), of which 29.7% are women and 70.3% are men. Felipe Carrillo Puerto has 81,742 inhabitants of which 41,200 (50.40%) are women and 40,542 are men (49.60%); the EAP is 40.8%, of which 22.2% are women and 77.8% are men. The total population of José María Morelos is 37,205, of which 18,308 (48.82%) are women and 19,194 are men (51.18%); the EAP is 45.3%, of which 20.7% are women and 79.3% are men.</w:t>
      </w:r>
    </w:p>
    <w:p w:rsidR="00F30CC1" w:rsidRPr="009B0B4D" w:rsidRDefault="00F30CC1" w:rsidP="00F30CC1">
      <w:pPr>
        <w:shd w:val="clear" w:color="auto" w:fill="FFFFFF"/>
        <w:spacing w:before="120" w:beforeAutospacing="1" w:after="120" w:afterAutospacing="1"/>
        <w:rPr>
          <w:rFonts w:ascii="Times New Roman" w:hAnsi="Times New Roman"/>
          <w:sz w:val="22"/>
          <w:szCs w:val="22"/>
        </w:rPr>
      </w:pPr>
      <w:r w:rsidRPr="009B0B4D">
        <w:rPr>
          <w:rFonts w:ascii="Times New Roman" w:hAnsi="Times New Roman"/>
          <w:sz w:val="22"/>
          <w:szCs w:val="22"/>
        </w:rPr>
        <w:t xml:space="preserve">The project’s interventions in Maya Ka'an will directly benefit approximately 600 people, of which 70% are men and 30% are women. These people are the members or employees of local tourism cooperatives and their families who are already providing tourism services. The participation of women in ecotourism is increasing in Maya Ka’an. For example, one cooperative in Punta Allen is run by women, and the leadership in the community ecotourism network is in women’s hands: 14 women occupy a leading position within the ecotourism cooperatives, in addition to being decision-makers. Handicraft production is also led by women (embroidery, jelly/preserves, honey products, traditional medicines, etc.). Decisions on the activities, the benefits, and the distribution thereof are made through assemblies. </w:t>
      </w:r>
    </w:p>
    <w:p w:rsidR="00F30CC1" w:rsidRPr="009B0B4D" w:rsidRDefault="00F30CC1" w:rsidP="00F30CC1">
      <w:pPr>
        <w:shd w:val="clear" w:color="auto" w:fill="FFFFFF"/>
        <w:spacing w:before="120" w:beforeAutospacing="1" w:after="120" w:afterAutospacing="1"/>
        <w:rPr>
          <w:rFonts w:ascii="Times New Roman" w:hAnsi="Times New Roman"/>
          <w:sz w:val="22"/>
          <w:szCs w:val="22"/>
        </w:rPr>
      </w:pPr>
      <w:r w:rsidRPr="009B0B4D">
        <w:rPr>
          <w:rFonts w:ascii="Times New Roman" w:hAnsi="Times New Roman"/>
          <w:sz w:val="22"/>
          <w:szCs w:val="22"/>
        </w:rPr>
        <w:t>Some of the cooperatives are organized within a community tourism network in which there is a willingness by members to collaborate with women who already hold positions as President, Secretary, Treasurer, and tour guide of the network. A clear example is the orchids cooperative of Sian Ka'an in Punta Allen, that has emerged as a productive alternative for families through nature tourism, thereby reducing the pressure generated by fishing (developed mainly by men) in the marine ecosystems. Another case is represented by the women of the Pitahi company, which work in an organized way to process and market canned foods that contribute to a better use of the products of the field, thus favoring the economy of their families and strengthening women's empowerment to be pioneers in social entrepreneurship in their communities.</w:t>
      </w:r>
    </w:p>
    <w:p w:rsidR="00F30CC1" w:rsidRPr="009B0B4D" w:rsidRDefault="00F30CC1" w:rsidP="00F30CC1">
      <w:pPr>
        <w:shd w:val="clear" w:color="auto" w:fill="FFFFFF"/>
        <w:spacing w:before="120" w:beforeAutospacing="1" w:after="120" w:afterAutospacing="1"/>
        <w:rPr>
          <w:rFonts w:ascii="Times New Roman" w:hAnsi="Times New Roman"/>
          <w:sz w:val="22"/>
          <w:szCs w:val="22"/>
        </w:rPr>
      </w:pPr>
      <w:r w:rsidRPr="009B0B4D">
        <w:rPr>
          <w:rFonts w:ascii="Times New Roman" w:hAnsi="Times New Roman"/>
          <w:sz w:val="22"/>
          <w:szCs w:val="22"/>
        </w:rPr>
        <w:t>In other cooperatives, women play an essential role in managing ecotourism activities and services and providing environmental education to children in local communities. Some examples are the case of Señor community, where Xyaat cooperative is led by a young woman that also is responsible for the bird watching program in the community; in Siijil Noh Ha, a lagoon in the Felipe Carrillo Puerto Ejido, the administration is held by a group of women that are in charge of sales, finance, and organization of the tours.</w:t>
      </w:r>
    </w:p>
    <w:p w:rsidR="00F30CC1" w:rsidRPr="009B0B4D" w:rsidRDefault="00F30CC1" w:rsidP="00F30CC1">
      <w:pPr>
        <w:shd w:val="clear" w:color="auto" w:fill="FFFFFF"/>
        <w:spacing w:before="120" w:beforeAutospacing="1" w:after="120" w:afterAutospacing="1"/>
        <w:rPr>
          <w:rFonts w:ascii="Times New Roman" w:hAnsi="Times New Roman"/>
          <w:b/>
          <w:sz w:val="22"/>
          <w:szCs w:val="22"/>
        </w:rPr>
      </w:pPr>
      <w:r w:rsidRPr="009B0B4D">
        <w:rPr>
          <w:rFonts w:ascii="Times New Roman" w:hAnsi="Times New Roman"/>
          <w:b/>
          <w:sz w:val="22"/>
          <w:szCs w:val="22"/>
        </w:rPr>
        <w:t>Baja California Sur- Los Cabos</w:t>
      </w:r>
    </w:p>
    <w:p w:rsidR="00F30CC1" w:rsidRPr="009B0B4D" w:rsidRDefault="00F30CC1" w:rsidP="00F30CC1">
      <w:pPr>
        <w:shd w:val="clear" w:color="auto" w:fill="FFFFFF"/>
        <w:spacing w:before="120" w:beforeAutospacing="1" w:after="120" w:afterAutospacing="1"/>
        <w:rPr>
          <w:rFonts w:ascii="Times New Roman" w:hAnsi="Times New Roman"/>
          <w:sz w:val="22"/>
          <w:szCs w:val="22"/>
        </w:rPr>
      </w:pPr>
      <w:r w:rsidRPr="009B0B4D">
        <w:rPr>
          <w:rFonts w:ascii="Times New Roman" w:hAnsi="Times New Roman"/>
          <w:sz w:val="22"/>
          <w:szCs w:val="22"/>
        </w:rPr>
        <w:t>Los Cabos has a total population of 287,671 inhabitants</w:t>
      </w:r>
      <w:r w:rsidRPr="009B0B4D">
        <w:rPr>
          <w:rFonts w:ascii="Times New Roman" w:hAnsi="Times New Roman"/>
          <w:sz w:val="22"/>
          <w:szCs w:val="22"/>
          <w:vertAlign w:val="superscript"/>
        </w:rPr>
        <w:footnoteReference w:id="8"/>
      </w:r>
      <w:r w:rsidRPr="009B0B4D">
        <w:rPr>
          <w:rFonts w:ascii="Times New Roman" w:hAnsi="Times New Roman"/>
          <w:sz w:val="22"/>
          <w:szCs w:val="22"/>
        </w:rPr>
        <w:t>, of which 139,690 (48.56%) are women and 147,981 are men (51.44%). According to the 2015 Intercensus Survey, 62.4% of the total population of the municipality is considered as Economically Active Population (EAP), of which 35.3% are women and 64.7% are men.</w:t>
      </w:r>
    </w:p>
    <w:p w:rsidR="00F30CC1" w:rsidRPr="009B0B4D" w:rsidRDefault="00F30CC1" w:rsidP="00F30CC1">
      <w:pPr>
        <w:shd w:val="clear" w:color="auto" w:fill="FFFFFF"/>
        <w:spacing w:before="120" w:beforeAutospacing="1" w:after="120" w:afterAutospacing="1"/>
        <w:rPr>
          <w:rFonts w:ascii="Times New Roman" w:hAnsi="Times New Roman"/>
          <w:sz w:val="22"/>
          <w:szCs w:val="22"/>
        </w:rPr>
      </w:pPr>
      <w:r w:rsidRPr="009B0B4D">
        <w:rPr>
          <w:rFonts w:ascii="Times New Roman" w:hAnsi="Times New Roman"/>
          <w:sz w:val="22"/>
          <w:szCs w:val="22"/>
        </w:rPr>
        <w:t xml:space="preserve">The gender information in Los Cabos is related to the participation of migrant women in the informal labor market. The migratory patterns in Baja California Sur, especially since the 1990s, show the following: a) the considerable increase in the permanent population attracted by the growth of the tourism sector, and b) </w:t>
      </w:r>
      <w:r w:rsidRPr="009B0B4D">
        <w:rPr>
          <w:rFonts w:ascii="Times New Roman" w:hAnsi="Times New Roman"/>
          <w:sz w:val="22"/>
          <w:szCs w:val="22"/>
        </w:rPr>
        <w:lastRenderedPageBreak/>
        <w:t xml:space="preserve">a less visible but continuous flow of agricultural day laborers due to the incorporation of the state into the agricultural export circuits of the Mexican northwest. </w:t>
      </w:r>
    </w:p>
    <w:p w:rsidR="00F30CC1" w:rsidRPr="009B0B4D" w:rsidRDefault="00F30CC1" w:rsidP="00F30CC1">
      <w:pPr>
        <w:shd w:val="clear" w:color="auto" w:fill="FFFFFF"/>
        <w:spacing w:before="120" w:beforeAutospacing="1" w:after="120" w:afterAutospacing="1"/>
        <w:rPr>
          <w:rFonts w:ascii="Times New Roman" w:hAnsi="Times New Roman"/>
          <w:sz w:val="22"/>
          <w:szCs w:val="22"/>
        </w:rPr>
      </w:pPr>
      <w:r w:rsidRPr="009B0B4D">
        <w:rPr>
          <w:rFonts w:ascii="Times New Roman" w:hAnsi="Times New Roman"/>
          <w:sz w:val="22"/>
          <w:szCs w:val="22"/>
        </w:rPr>
        <w:t xml:space="preserve">At first, the migratory process is led by men as a worker of construction of hotels and infrastructure of the emerging tourism destination where women are less represented. In the informal sector, women find a space for integration into the labor market that is flexible, does not require high qualifications and, in some cases (especially when they are independent), offers them a job alternative that is sometimes better rewarded than in the formal sector. </w:t>
      </w:r>
    </w:p>
    <w:p w:rsidR="00F30CC1" w:rsidRPr="009B0B4D" w:rsidRDefault="00F30CC1" w:rsidP="00F30CC1">
      <w:pPr>
        <w:shd w:val="clear" w:color="auto" w:fill="FFFFFF"/>
        <w:spacing w:before="120" w:beforeAutospacing="1" w:after="120" w:afterAutospacing="1"/>
        <w:rPr>
          <w:rFonts w:ascii="Times New Roman" w:hAnsi="Times New Roman"/>
          <w:sz w:val="22"/>
          <w:szCs w:val="22"/>
        </w:rPr>
      </w:pPr>
      <w:r w:rsidRPr="009B0B4D">
        <w:rPr>
          <w:rFonts w:ascii="Times New Roman" w:hAnsi="Times New Roman"/>
          <w:sz w:val="22"/>
          <w:szCs w:val="22"/>
        </w:rPr>
        <w:t xml:space="preserve">In BCS, 156,985 people are employed; in Los Cabos, 62% are men (96,846) and 38% (60,139) are women. These jobs relate to the services and commerce associated with tourism. Although there is not enough information on gender structure in tourism, it is well known that women’s participation in tourism services comprises low category jobs such as waitresses; while the administrative and front desk are more frequent for local woman, the management jobs are restricted to foreigners in the international Hotel Chains, and thus not common for local women.  </w:t>
      </w:r>
    </w:p>
    <w:p w:rsidR="00F30CC1" w:rsidRPr="009B0B4D" w:rsidRDefault="00F30CC1" w:rsidP="00F30CC1">
      <w:pPr>
        <w:shd w:val="clear" w:color="auto" w:fill="FFFFFF"/>
        <w:spacing w:before="120" w:beforeAutospacing="1" w:after="120" w:afterAutospacing="1"/>
        <w:rPr>
          <w:rFonts w:ascii="Times New Roman" w:hAnsi="Times New Roman"/>
          <w:sz w:val="22"/>
          <w:szCs w:val="22"/>
        </w:rPr>
      </w:pPr>
      <w:r w:rsidRPr="009B0B4D">
        <w:rPr>
          <w:rFonts w:ascii="Times New Roman" w:hAnsi="Times New Roman"/>
          <w:sz w:val="22"/>
          <w:szCs w:val="22"/>
        </w:rPr>
        <w:t>With respect to the rural ejido communities, women are best represented in some social, administrative and entrepreneur activities like the Presidency and members of the Ejido Board of Representatives; groups of women are gathering to form companies to produce wild plants of high economic value, fruit, and ecotourism projects; women are organized to form social groups of information, participation, surveillance, cleaning of community sites, promote Sunday market of local products made by families, and other conservation, training and social activities.</w:t>
      </w:r>
    </w:p>
    <w:p w:rsidR="00F30CC1" w:rsidRPr="009B0B4D" w:rsidRDefault="00F30CC1" w:rsidP="00F30CC1">
      <w:pPr>
        <w:shd w:val="clear" w:color="auto" w:fill="FFFFFF"/>
        <w:spacing w:before="120" w:beforeAutospacing="1" w:after="120" w:afterAutospacing="1"/>
        <w:rPr>
          <w:rFonts w:ascii="Times New Roman" w:hAnsi="Times New Roman"/>
          <w:b/>
          <w:sz w:val="22"/>
          <w:szCs w:val="22"/>
        </w:rPr>
      </w:pPr>
      <w:r w:rsidRPr="009B0B4D">
        <w:rPr>
          <w:rFonts w:ascii="Times New Roman" w:hAnsi="Times New Roman"/>
          <w:b/>
          <w:sz w:val="22"/>
          <w:szCs w:val="22"/>
        </w:rPr>
        <w:t xml:space="preserve">Oaxaca-Huatulco </w:t>
      </w:r>
    </w:p>
    <w:p w:rsidR="00F30CC1" w:rsidRPr="009B0B4D" w:rsidRDefault="00F30CC1" w:rsidP="00F30CC1">
      <w:pPr>
        <w:shd w:val="clear" w:color="auto" w:fill="FFFFFF"/>
        <w:spacing w:before="120" w:beforeAutospacing="1" w:after="120" w:afterAutospacing="1"/>
        <w:rPr>
          <w:rFonts w:ascii="Times New Roman" w:hAnsi="Times New Roman"/>
          <w:sz w:val="22"/>
          <w:szCs w:val="22"/>
        </w:rPr>
      </w:pPr>
      <w:r w:rsidRPr="009B0B4D">
        <w:rPr>
          <w:rFonts w:ascii="Times New Roman" w:hAnsi="Times New Roman"/>
          <w:sz w:val="22"/>
          <w:szCs w:val="22"/>
        </w:rPr>
        <w:t>The Municipality of Santa María, which houses the Integrally Planned Center (CIP) of Bahías de Huatulco, has a total population of 45,680 inhabitants, of which 23,385 (51.19%) are women, and 22,295 are men (48.81%). According to the 2015 Intercensus Survey, 58.5% of the total population of the municipality is considered as Economically Active Population (EAP), of which 37.9% are women and 62.1% are men.</w:t>
      </w:r>
    </w:p>
    <w:p w:rsidR="00F30CC1" w:rsidRPr="009B0B4D" w:rsidRDefault="00F30CC1" w:rsidP="00F30CC1">
      <w:pPr>
        <w:shd w:val="clear" w:color="auto" w:fill="FFFFFF"/>
        <w:spacing w:before="120" w:beforeAutospacing="1" w:after="120" w:afterAutospacing="1"/>
        <w:rPr>
          <w:rFonts w:ascii="Times New Roman" w:hAnsi="Times New Roman"/>
          <w:sz w:val="22"/>
          <w:szCs w:val="22"/>
        </w:rPr>
      </w:pPr>
      <w:r w:rsidRPr="009B0B4D">
        <w:rPr>
          <w:rFonts w:ascii="Times New Roman" w:hAnsi="Times New Roman"/>
          <w:sz w:val="22"/>
          <w:szCs w:val="22"/>
        </w:rPr>
        <w:t>The CIP was created under a tourism model, beginning in 1984, whose implantation and development transformed the towns and rural nuclei of the municipality of Santa María Huatulco. There was no self-defined proposal or considerations towards men and women, who construct varied forms of social life, in the different spaces of this municipality and of the CIP. There were deficits and lacks in skills and knowledge between genders because this aspect is undiagnosed in the original plans and development programs for this destination. There has not been a strategy to close the gap between men and women in terms of skills and knowledge, and less in terms of benefit sharing. The asymmetries between the urbanized environment of the CIP and the neighboring rural communities of the same municipality, which present high rates of marginalization, have not been balanced either.</w:t>
      </w:r>
    </w:p>
    <w:p w:rsidR="00F30CC1" w:rsidRPr="009B0B4D" w:rsidRDefault="00F30CC1" w:rsidP="00F30CC1">
      <w:pPr>
        <w:shd w:val="clear" w:color="auto" w:fill="FFFFFF"/>
        <w:spacing w:before="120" w:beforeAutospacing="1" w:after="120" w:afterAutospacing="1"/>
        <w:rPr>
          <w:rFonts w:ascii="Times New Roman" w:hAnsi="Times New Roman"/>
          <w:sz w:val="22"/>
          <w:szCs w:val="22"/>
        </w:rPr>
      </w:pPr>
      <w:r w:rsidRPr="009B0B4D">
        <w:rPr>
          <w:rFonts w:ascii="Times New Roman" w:hAnsi="Times New Roman"/>
          <w:sz w:val="22"/>
          <w:szCs w:val="22"/>
        </w:rPr>
        <w:t>Furthermore, a significant problem in the gender issue is the differences in economic aspects, although 26% of households are headed by women (2,550 homes compared to 9,943 in the municipality). The family income must be balanced, and women must receive fair wages for their activities and equivalent to those earned by men.</w:t>
      </w:r>
    </w:p>
    <w:p w:rsidR="00F30CC1" w:rsidRPr="009B0B4D" w:rsidRDefault="00F30CC1" w:rsidP="00F30CC1">
      <w:pPr>
        <w:autoSpaceDE w:val="0"/>
        <w:autoSpaceDN w:val="0"/>
        <w:adjustRightInd w:val="0"/>
        <w:spacing w:after="0"/>
        <w:rPr>
          <w:rFonts w:ascii="Times New Roman" w:hAnsi="Times New Roman"/>
          <w:szCs w:val="20"/>
          <w:lang w:eastAsia="es-MX"/>
        </w:rPr>
      </w:pPr>
      <w:r w:rsidRPr="009B0B4D">
        <w:rPr>
          <w:rFonts w:ascii="Times New Roman" w:hAnsi="Times New Roman"/>
          <w:color w:val="000000"/>
          <w:sz w:val="22"/>
          <w:szCs w:val="22"/>
        </w:rPr>
        <w:t>Along the coast of Oaxaca, where most of the ecotourism projects are operating, there is a lack of gender approaches; most of the local cooperatives are managed by men, and the role of the women is limited to operative functions like the kitchen. Due to the presence of indigenous people in the region, and because of their customs and habits, a gender strategy needs to be implemented in the context of the project.</w:t>
      </w:r>
      <w:bookmarkStart w:id="3" w:name="_Hlk2583330"/>
      <w:r w:rsidRPr="009B0B4D">
        <w:rPr>
          <w:rFonts w:ascii="Times New Roman" w:hAnsi="Times New Roman"/>
          <w:color w:val="000000"/>
          <w:sz w:val="22"/>
          <w:szCs w:val="22"/>
        </w:rPr>
        <w:t xml:space="preserve"> The strategy should be articulated with the </w:t>
      </w:r>
      <w:r w:rsidRPr="009B0B4D">
        <w:rPr>
          <w:rFonts w:ascii="Times New Roman" w:hAnsi="Times New Roman"/>
          <w:sz w:val="22"/>
          <w:szCs w:val="22"/>
        </w:rPr>
        <w:t xml:space="preserve">set of emergency government actions to confront and eradicate violence against women </w:t>
      </w:r>
      <w:r w:rsidRPr="009B0B4D">
        <w:rPr>
          <w:rFonts w:ascii="Times New Roman" w:hAnsi="Times New Roman"/>
          <w:noProof/>
          <w:color w:val="000000"/>
          <w:sz w:val="22"/>
          <w:szCs w:val="22"/>
        </w:rPr>
        <w:t>through</w:t>
      </w:r>
      <w:r w:rsidRPr="009B0B4D">
        <w:rPr>
          <w:rFonts w:ascii="Times New Roman" w:hAnsi="Times New Roman"/>
          <w:sz w:val="22"/>
          <w:szCs w:val="22"/>
        </w:rPr>
        <w:t xml:space="preserve"> the Gender Violence </w:t>
      </w:r>
      <w:r w:rsidRPr="009B0B4D">
        <w:rPr>
          <w:rFonts w:ascii="Times New Roman" w:hAnsi="Times New Roman"/>
          <w:color w:val="000000"/>
          <w:sz w:val="22"/>
          <w:szCs w:val="22"/>
        </w:rPr>
        <w:t>against</w:t>
      </w:r>
      <w:r w:rsidRPr="009B0B4D">
        <w:rPr>
          <w:rFonts w:ascii="Times New Roman" w:hAnsi="Times New Roman"/>
          <w:sz w:val="22"/>
          <w:szCs w:val="22"/>
        </w:rPr>
        <w:t xml:space="preserve"> Women Alert (</w:t>
      </w:r>
      <w:r w:rsidRPr="009B0B4D">
        <w:rPr>
          <w:rFonts w:ascii="Times New Roman" w:hAnsi="Times New Roman"/>
          <w:color w:val="000000"/>
          <w:sz w:val="22"/>
          <w:szCs w:val="22"/>
        </w:rPr>
        <w:t>AGMV</w:t>
      </w:r>
      <w:r w:rsidRPr="009B0B4D">
        <w:rPr>
          <w:rFonts w:ascii="Times New Roman" w:hAnsi="Times New Roman"/>
          <w:sz w:val="22"/>
          <w:szCs w:val="22"/>
        </w:rPr>
        <w:t>)</w:t>
      </w:r>
      <w:r w:rsidRPr="009B0B4D">
        <w:rPr>
          <w:rFonts w:ascii="Times New Roman" w:hAnsi="Times New Roman"/>
          <w:color w:val="000000"/>
          <w:sz w:val="18"/>
          <w:szCs w:val="22"/>
          <w:vertAlign w:val="superscript"/>
        </w:rPr>
        <w:footnoteReference w:id="9"/>
      </w:r>
      <w:r w:rsidRPr="009B0B4D">
        <w:rPr>
          <w:rFonts w:ascii="Times New Roman" w:hAnsi="Times New Roman"/>
          <w:sz w:val="22"/>
          <w:szCs w:val="22"/>
        </w:rPr>
        <w:t xml:space="preserve"> that </w:t>
      </w:r>
      <w:r w:rsidRPr="009B0B4D">
        <w:rPr>
          <w:rFonts w:ascii="Times New Roman" w:hAnsi="Times New Roman"/>
          <w:color w:val="000000"/>
          <w:sz w:val="22"/>
          <w:szCs w:val="22"/>
        </w:rPr>
        <w:t>are in place</w:t>
      </w:r>
      <w:r w:rsidRPr="009B0B4D">
        <w:rPr>
          <w:rFonts w:ascii="Times New Roman" w:hAnsi="Times New Roman"/>
          <w:sz w:val="22"/>
          <w:szCs w:val="22"/>
        </w:rPr>
        <w:t xml:space="preserve"> i</w:t>
      </w:r>
      <w:r w:rsidRPr="009B0B4D">
        <w:rPr>
          <w:rFonts w:ascii="Times New Roman" w:hAnsi="Times New Roman"/>
          <w:color w:val="000000"/>
          <w:sz w:val="22"/>
          <w:szCs w:val="22"/>
        </w:rPr>
        <w:t xml:space="preserve">n the 40 municipalities of states, including Santa Maria Huatulco. Regarding this, one of the main gender activities of this site will be to develop a gender action plan focused on addressing violence against </w:t>
      </w:r>
      <w:r w:rsidRPr="009B0B4D">
        <w:rPr>
          <w:rFonts w:ascii="Times New Roman" w:hAnsi="Times New Roman"/>
          <w:color w:val="000000"/>
          <w:sz w:val="22"/>
          <w:szCs w:val="22"/>
        </w:rPr>
        <w:lastRenderedPageBreak/>
        <w:t xml:space="preserve">indigenous women in the context of biodiversity use, access and benefit sharing and empowering women through value of their knowledge in the management of the biodiversity resources in the context of tourism activities. </w:t>
      </w:r>
      <w:r w:rsidRPr="009B0B4D">
        <w:rPr>
          <w:rFonts w:ascii="Times New Roman" w:hAnsi="Times New Roman"/>
          <w:sz w:val="22"/>
          <w:szCs w:val="22"/>
        </w:rPr>
        <w:br w:type="page"/>
      </w:r>
    </w:p>
    <w:p w:rsidR="00F176D5" w:rsidRDefault="001679A2">
      <w:bookmarkStart w:id="4" w:name="_GoBack"/>
      <w:bookmarkEnd w:id="3"/>
      <w:bookmarkEnd w:id="4"/>
    </w:p>
    <w:sectPr w:rsidR="00F176D5" w:rsidSect="002F339E">
      <w:pgSz w:w="11900" w:h="16840"/>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79A2" w:rsidRDefault="001679A2" w:rsidP="00F30CC1">
      <w:pPr>
        <w:spacing w:after="0"/>
      </w:pPr>
      <w:r>
        <w:separator/>
      </w:r>
    </w:p>
  </w:endnote>
  <w:endnote w:type="continuationSeparator" w:id="0">
    <w:p w:rsidR="001679A2" w:rsidRDefault="001679A2" w:rsidP="00F30CC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79A2" w:rsidRDefault="001679A2" w:rsidP="00F30CC1">
      <w:pPr>
        <w:spacing w:after="0"/>
      </w:pPr>
      <w:r>
        <w:separator/>
      </w:r>
    </w:p>
  </w:footnote>
  <w:footnote w:type="continuationSeparator" w:id="0">
    <w:p w:rsidR="001679A2" w:rsidRDefault="001679A2" w:rsidP="00F30CC1">
      <w:pPr>
        <w:spacing w:after="0"/>
      </w:pPr>
      <w:r>
        <w:continuationSeparator/>
      </w:r>
    </w:p>
  </w:footnote>
  <w:footnote w:id="1">
    <w:p w:rsidR="00F30CC1" w:rsidRPr="00794A63" w:rsidRDefault="00F30CC1" w:rsidP="00F30CC1">
      <w:pPr>
        <w:pStyle w:val="a3"/>
        <w:rPr>
          <w:rFonts w:asciiTheme="minorHAnsi" w:hAnsiTheme="minorHAnsi" w:cstheme="minorHAnsi"/>
          <w:sz w:val="18"/>
          <w:szCs w:val="18"/>
        </w:rPr>
      </w:pPr>
      <w:r w:rsidRPr="00794A63">
        <w:rPr>
          <w:rStyle w:val="a6"/>
          <w:rFonts w:asciiTheme="minorHAnsi" w:hAnsiTheme="minorHAnsi" w:cstheme="minorHAnsi"/>
          <w:szCs w:val="18"/>
        </w:rPr>
        <w:footnoteRef/>
      </w:r>
      <w:r w:rsidRPr="00794A63">
        <w:rPr>
          <w:rFonts w:asciiTheme="minorHAnsi" w:hAnsiTheme="minorHAnsi" w:cstheme="minorHAnsi"/>
          <w:sz w:val="18"/>
          <w:szCs w:val="18"/>
        </w:rPr>
        <w:t xml:space="preserve"> World Tourism Organization (UNWTO) and the United Nations Entity for Gender Equality and the Empowerment of Women (UN Women), 2010, Global Report on Women in Tourism 2010</w:t>
      </w:r>
    </w:p>
  </w:footnote>
  <w:footnote w:id="2">
    <w:p w:rsidR="00F30CC1" w:rsidRPr="00794A63" w:rsidRDefault="00F30CC1" w:rsidP="00F30CC1">
      <w:pPr>
        <w:pStyle w:val="a3"/>
        <w:rPr>
          <w:rFonts w:asciiTheme="minorHAnsi" w:hAnsiTheme="minorHAnsi" w:cstheme="minorHAnsi"/>
          <w:sz w:val="18"/>
          <w:szCs w:val="18"/>
        </w:rPr>
      </w:pPr>
      <w:r w:rsidRPr="00794A63">
        <w:rPr>
          <w:rStyle w:val="a6"/>
          <w:rFonts w:asciiTheme="minorHAnsi" w:hAnsiTheme="minorHAnsi" w:cstheme="minorHAnsi"/>
          <w:szCs w:val="18"/>
        </w:rPr>
        <w:footnoteRef/>
      </w:r>
      <w:r w:rsidRPr="00794A63">
        <w:rPr>
          <w:rFonts w:asciiTheme="minorHAnsi" w:hAnsiTheme="minorHAnsi" w:cstheme="minorHAnsi"/>
          <w:sz w:val="18"/>
          <w:szCs w:val="18"/>
        </w:rPr>
        <w:t xml:space="preserve"> Expok News, interview with Francesca Romita, in charge of Gender Unit at SECTUR: https://www.expoknews.com/entrevista-a-francesca-romita/</w:t>
      </w:r>
    </w:p>
  </w:footnote>
  <w:footnote w:id="3">
    <w:p w:rsidR="00F30CC1" w:rsidRPr="00794A63" w:rsidRDefault="00F30CC1" w:rsidP="00F30CC1">
      <w:pPr>
        <w:pStyle w:val="a3"/>
        <w:rPr>
          <w:rFonts w:asciiTheme="minorHAnsi" w:hAnsiTheme="minorHAnsi" w:cstheme="minorHAnsi"/>
        </w:rPr>
      </w:pPr>
      <w:r w:rsidRPr="00794A63">
        <w:rPr>
          <w:rStyle w:val="a6"/>
          <w:rFonts w:asciiTheme="minorHAnsi" w:hAnsiTheme="minorHAnsi" w:cstheme="minorHAnsi"/>
        </w:rPr>
        <w:footnoteRef/>
      </w:r>
      <w:r w:rsidRPr="00794A63">
        <w:rPr>
          <w:rFonts w:asciiTheme="minorHAnsi" w:hAnsiTheme="minorHAnsi" w:cstheme="minorHAnsi"/>
        </w:rPr>
        <w:t xml:space="preserve"> </w:t>
      </w:r>
      <w:r w:rsidRPr="00794A63">
        <w:rPr>
          <w:rFonts w:asciiTheme="minorHAnsi" w:hAnsiTheme="minorHAnsi" w:cstheme="minorHAnsi"/>
          <w:sz w:val="18"/>
          <w:szCs w:val="18"/>
        </w:rPr>
        <w:t>GEF, Policy on Gender Equality (2017,2)</w:t>
      </w:r>
      <w:r w:rsidRPr="00794A63">
        <w:rPr>
          <w:rFonts w:asciiTheme="minorHAnsi" w:eastAsia="Calibri" w:hAnsiTheme="minorHAnsi" w:cstheme="minorHAnsi"/>
          <w:sz w:val="22"/>
          <w:szCs w:val="22"/>
        </w:rPr>
        <w:t xml:space="preserve"> </w:t>
      </w:r>
    </w:p>
  </w:footnote>
  <w:footnote w:id="4">
    <w:p w:rsidR="00F30CC1" w:rsidRPr="00F13169" w:rsidRDefault="00F30CC1" w:rsidP="00F30CC1">
      <w:pPr>
        <w:spacing w:after="0"/>
      </w:pPr>
      <w:r w:rsidRPr="00794A63">
        <w:rPr>
          <w:rStyle w:val="a6"/>
          <w:rFonts w:asciiTheme="minorHAnsi" w:hAnsiTheme="minorHAnsi" w:cstheme="minorHAnsi"/>
          <w:szCs w:val="18"/>
        </w:rPr>
        <w:footnoteRef/>
      </w:r>
      <w:r w:rsidRPr="00794A63">
        <w:rPr>
          <w:rFonts w:asciiTheme="minorHAnsi" w:hAnsiTheme="minorHAnsi" w:cstheme="minorHAnsi"/>
          <w:sz w:val="18"/>
          <w:szCs w:val="18"/>
        </w:rPr>
        <w:t xml:space="preserve"> T</w:t>
      </w:r>
      <w:r w:rsidRPr="00794A63">
        <w:rPr>
          <w:rFonts w:asciiTheme="minorHAnsi" w:hAnsiTheme="minorHAnsi" w:cstheme="minorHAnsi"/>
          <w:color w:val="3B3B3B"/>
          <w:sz w:val="18"/>
          <w:szCs w:val="18"/>
          <w:shd w:val="clear" w:color="auto" w:fill="FFFFFF"/>
        </w:rPr>
        <w:t>he World Bank, “</w:t>
      </w:r>
      <w:r w:rsidRPr="00794A63">
        <w:rPr>
          <w:rFonts w:asciiTheme="minorHAnsi" w:hAnsiTheme="minorHAnsi" w:cstheme="minorHAnsi"/>
          <w:sz w:val="18"/>
          <w:szCs w:val="18"/>
        </w:rPr>
        <w:t>Labor Force Participation Rate, Female (% of Female Population Ages 15+) (Modeled ILO Estimate), Mexico, 2016</w:t>
      </w:r>
      <w:r w:rsidRPr="00794A63">
        <w:rPr>
          <w:rFonts w:asciiTheme="minorHAnsi" w:hAnsiTheme="minorHAnsi" w:cstheme="minorHAnsi"/>
          <w:color w:val="3B3B3B"/>
          <w:sz w:val="18"/>
          <w:szCs w:val="18"/>
          <w:shd w:val="clear" w:color="auto" w:fill="FFFFFF"/>
        </w:rPr>
        <w:t>,”</w:t>
      </w:r>
      <w:r w:rsidRPr="00794A63">
        <w:rPr>
          <w:rStyle w:val="apple-converted-space"/>
          <w:rFonts w:asciiTheme="minorHAnsi" w:hAnsiTheme="minorHAnsi" w:cstheme="minorHAnsi"/>
          <w:color w:val="3B3B3B"/>
          <w:sz w:val="18"/>
          <w:szCs w:val="18"/>
          <w:shd w:val="clear" w:color="auto" w:fill="FFFFFF"/>
        </w:rPr>
        <w:t> </w:t>
      </w:r>
      <w:r w:rsidRPr="00794A63">
        <w:rPr>
          <w:rStyle w:val="a5"/>
          <w:rFonts w:asciiTheme="minorHAnsi" w:hAnsiTheme="minorHAnsi" w:cstheme="minorHAnsi"/>
          <w:color w:val="3B3B3B"/>
          <w:sz w:val="18"/>
          <w:szCs w:val="18"/>
        </w:rPr>
        <w:t>The World Bank Databank</w:t>
      </w:r>
      <w:r w:rsidRPr="00794A63">
        <w:rPr>
          <w:rStyle w:val="apple-converted-space"/>
          <w:rFonts w:asciiTheme="minorHAnsi" w:hAnsiTheme="minorHAnsi" w:cstheme="minorHAnsi"/>
          <w:color w:val="3B3B3B"/>
          <w:sz w:val="18"/>
          <w:szCs w:val="18"/>
          <w:shd w:val="clear" w:color="auto" w:fill="FFFFFF"/>
        </w:rPr>
        <w:t> </w:t>
      </w:r>
      <w:r w:rsidRPr="00794A63">
        <w:rPr>
          <w:rFonts w:asciiTheme="minorHAnsi" w:hAnsiTheme="minorHAnsi" w:cstheme="minorHAnsi"/>
          <w:color w:val="3B3B3B"/>
          <w:sz w:val="18"/>
          <w:szCs w:val="18"/>
          <w:shd w:val="clear" w:color="auto" w:fill="FFFFFF"/>
        </w:rPr>
        <w:t>(2017); The World Bank, “</w:t>
      </w:r>
      <w:r w:rsidRPr="00794A63">
        <w:rPr>
          <w:rFonts w:asciiTheme="minorHAnsi" w:hAnsiTheme="minorHAnsi" w:cstheme="minorHAnsi"/>
          <w:sz w:val="18"/>
          <w:szCs w:val="18"/>
        </w:rPr>
        <w:t>Labor Force Participation Rate, Male (% of Male Population Ages 15+) (Modeled ILO Estimate), Mexico, 2016</w:t>
      </w:r>
      <w:r w:rsidRPr="00794A63">
        <w:rPr>
          <w:rFonts w:asciiTheme="minorHAnsi" w:hAnsiTheme="minorHAnsi" w:cstheme="minorHAnsi"/>
          <w:color w:val="3B3B3B"/>
          <w:sz w:val="18"/>
          <w:szCs w:val="18"/>
          <w:shd w:val="clear" w:color="auto" w:fill="FFFFFF"/>
        </w:rPr>
        <w:t>,”</w:t>
      </w:r>
      <w:r w:rsidRPr="00794A63">
        <w:rPr>
          <w:rStyle w:val="apple-converted-space"/>
          <w:rFonts w:asciiTheme="minorHAnsi" w:hAnsiTheme="minorHAnsi" w:cstheme="minorHAnsi"/>
          <w:color w:val="3B3B3B"/>
          <w:sz w:val="18"/>
          <w:szCs w:val="18"/>
          <w:shd w:val="clear" w:color="auto" w:fill="FFFFFF"/>
        </w:rPr>
        <w:t> </w:t>
      </w:r>
      <w:r w:rsidRPr="00794A63">
        <w:rPr>
          <w:rStyle w:val="a5"/>
          <w:rFonts w:asciiTheme="minorHAnsi" w:hAnsiTheme="minorHAnsi" w:cstheme="minorHAnsi"/>
          <w:color w:val="3B3B3B"/>
          <w:sz w:val="18"/>
          <w:szCs w:val="18"/>
        </w:rPr>
        <w:t>The World Bank Databank</w:t>
      </w:r>
      <w:r w:rsidRPr="00794A63">
        <w:rPr>
          <w:rStyle w:val="apple-converted-space"/>
          <w:rFonts w:asciiTheme="minorHAnsi" w:hAnsiTheme="minorHAnsi" w:cstheme="minorHAnsi"/>
          <w:color w:val="3B3B3B"/>
          <w:sz w:val="18"/>
          <w:szCs w:val="18"/>
          <w:shd w:val="clear" w:color="auto" w:fill="FFFFFF"/>
        </w:rPr>
        <w:t> </w:t>
      </w:r>
      <w:r w:rsidRPr="00794A63">
        <w:rPr>
          <w:rFonts w:asciiTheme="minorHAnsi" w:hAnsiTheme="minorHAnsi" w:cstheme="minorHAnsi"/>
          <w:color w:val="3B3B3B"/>
          <w:sz w:val="18"/>
          <w:szCs w:val="18"/>
          <w:shd w:val="clear" w:color="auto" w:fill="FFFFFF"/>
        </w:rPr>
        <w:t>(2017).</w:t>
      </w:r>
      <w:r w:rsidRPr="00F13169">
        <w:t xml:space="preserve"> </w:t>
      </w:r>
    </w:p>
  </w:footnote>
  <w:footnote w:id="5">
    <w:p w:rsidR="00F30CC1" w:rsidRPr="00794A63" w:rsidRDefault="00F30CC1" w:rsidP="00F30CC1">
      <w:pPr>
        <w:spacing w:after="0"/>
        <w:rPr>
          <w:rFonts w:asciiTheme="minorHAnsi" w:hAnsiTheme="minorHAnsi" w:cstheme="minorHAnsi"/>
        </w:rPr>
      </w:pPr>
      <w:r w:rsidRPr="00794A63">
        <w:rPr>
          <w:rStyle w:val="a6"/>
          <w:rFonts w:asciiTheme="minorHAnsi" w:hAnsiTheme="minorHAnsi" w:cstheme="minorHAnsi"/>
          <w:szCs w:val="18"/>
        </w:rPr>
        <w:footnoteRef/>
      </w:r>
      <w:r w:rsidRPr="00794A63">
        <w:rPr>
          <w:rFonts w:asciiTheme="minorHAnsi" w:hAnsiTheme="minorHAnsi" w:cstheme="minorHAnsi"/>
          <w:sz w:val="18"/>
          <w:szCs w:val="18"/>
        </w:rPr>
        <w:t xml:space="preserve"> </w:t>
      </w:r>
      <w:r w:rsidRPr="00794A63">
        <w:rPr>
          <w:rFonts w:asciiTheme="minorHAnsi" w:hAnsiTheme="minorHAnsi" w:cstheme="minorHAnsi"/>
          <w:sz w:val="18"/>
          <w:szCs w:val="18"/>
          <w:shd w:val="clear" w:color="auto" w:fill="FFFFFF"/>
        </w:rPr>
        <w:t>The World Bank, “Gross Enrolment Ratio, Tertiary, Female, Mexico, 2014,”</w:t>
      </w:r>
      <w:r w:rsidRPr="00794A63">
        <w:rPr>
          <w:rStyle w:val="apple-converted-space"/>
          <w:rFonts w:asciiTheme="minorHAnsi" w:hAnsiTheme="minorHAnsi" w:cstheme="minorHAnsi"/>
          <w:sz w:val="18"/>
          <w:szCs w:val="18"/>
          <w:shd w:val="clear" w:color="auto" w:fill="FFFFFF"/>
        </w:rPr>
        <w:t> </w:t>
      </w:r>
      <w:r w:rsidRPr="00794A63">
        <w:rPr>
          <w:rStyle w:val="a5"/>
          <w:rFonts w:asciiTheme="minorHAnsi" w:hAnsiTheme="minorHAnsi" w:cstheme="minorHAnsi"/>
          <w:sz w:val="18"/>
          <w:szCs w:val="18"/>
        </w:rPr>
        <w:t>The World Bank Databank</w:t>
      </w:r>
      <w:r w:rsidRPr="00794A63">
        <w:rPr>
          <w:rStyle w:val="apple-converted-space"/>
          <w:rFonts w:asciiTheme="minorHAnsi" w:hAnsiTheme="minorHAnsi" w:cstheme="minorHAnsi"/>
          <w:sz w:val="18"/>
          <w:szCs w:val="18"/>
          <w:shd w:val="clear" w:color="auto" w:fill="FFFFFF"/>
        </w:rPr>
        <w:t> </w:t>
      </w:r>
      <w:r w:rsidRPr="00794A63">
        <w:rPr>
          <w:rFonts w:asciiTheme="minorHAnsi" w:hAnsiTheme="minorHAnsi" w:cstheme="minorHAnsi"/>
          <w:sz w:val="18"/>
          <w:szCs w:val="18"/>
          <w:shd w:val="clear" w:color="auto" w:fill="FFFFFF"/>
        </w:rPr>
        <w:t>(2017).</w:t>
      </w:r>
      <w:r w:rsidRPr="00794A63">
        <w:rPr>
          <w:rFonts w:asciiTheme="minorHAnsi" w:hAnsiTheme="minorHAnsi" w:cstheme="minorHAnsi"/>
        </w:rPr>
        <w:t xml:space="preserve"> </w:t>
      </w:r>
    </w:p>
  </w:footnote>
  <w:footnote w:id="6">
    <w:p w:rsidR="00F30CC1" w:rsidRPr="00794A63" w:rsidRDefault="00F30CC1" w:rsidP="00F30CC1">
      <w:pPr>
        <w:spacing w:after="0"/>
        <w:rPr>
          <w:rFonts w:asciiTheme="minorHAnsi" w:hAnsiTheme="minorHAnsi" w:cstheme="minorHAnsi"/>
          <w:sz w:val="18"/>
          <w:szCs w:val="18"/>
        </w:rPr>
      </w:pPr>
      <w:r w:rsidRPr="00794A63">
        <w:rPr>
          <w:rStyle w:val="a6"/>
          <w:rFonts w:asciiTheme="minorHAnsi" w:hAnsiTheme="minorHAnsi" w:cstheme="minorHAnsi"/>
          <w:szCs w:val="18"/>
        </w:rPr>
        <w:footnoteRef/>
      </w:r>
      <w:r w:rsidRPr="00794A63">
        <w:rPr>
          <w:rFonts w:asciiTheme="minorHAnsi" w:hAnsiTheme="minorHAnsi" w:cstheme="minorHAnsi"/>
          <w:sz w:val="18"/>
          <w:szCs w:val="18"/>
        </w:rPr>
        <w:t xml:space="preserve"> </w:t>
      </w:r>
      <w:r w:rsidRPr="00794A63">
        <w:rPr>
          <w:rFonts w:asciiTheme="minorHAnsi" w:hAnsiTheme="minorHAnsi" w:cstheme="minorHAnsi"/>
          <w:sz w:val="18"/>
          <w:szCs w:val="18"/>
          <w:shd w:val="clear" w:color="auto" w:fill="FFFFFF"/>
        </w:rPr>
        <w:t>Data for total tertiary education (ISCED2011 levels 5-8); OECD, “</w:t>
      </w:r>
      <w:r w:rsidRPr="00794A63">
        <w:rPr>
          <w:rFonts w:asciiTheme="minorHAnsi" w:hAnsiTheme="minorHAnsi" w:cstheme="minorHAnsi"/>
          <w:sz w:val="18"/>
          <w:szCs w:val="18"/>
        </w:rPr>
        <w:t>Graduates by Field, Mexico</w:t>
      </w:r>
      <w:r w:rsidRPr="00794A63">
        <w:rPr>
          <w:rFonts w:asciiTheme="minorHAnsi" w:hAnsiTheme="minorHAnsi" w:cstheme="minorHAnsi"/>
          <w:sz w:val="18"/>
          <w:szCs w:val="18"/>
          <w:shd w:val="clear" w:color="auto" w:fill="FFFFFF"/>
        </w:rPr>
        <w:t>,”</w:t>
      </w:r>
      <w:r w:rsidRPr="00794A63">
        <w:rPr>
          <w:rStyle w:val="apple-converted-space"/>
          <w:rFonts w:asciiTheme="minorHAnsi" w:hAnsiTheme="minorHAnsi" w:cstheme="minorHAnsi"/>
          <w:sz w:val="18"/>
          <w:szCs w:val="18"/>
          <w:shd w:val="clear" w:color="auto" w:fill="FFFFFF"/>
        </w:rPr>
        <w:t> </w:t>
      </w:r>
      <w:r w:rsidRPr="00794A63">
        <w:rPr>
          <w:rStyle w:val="a5"/>
          <w:rFonts w:asciiTheme="minorHAnsi" w:hAnsiTheme="minorHAnsi" w:cstheme="minorHAnsi"/>
          <w:sz w:val="18"/>
          <w:szCs w:val="18"/>
        </w:rPr>
        <w:t>OECD Stat</w:t>
      </w:r>
    </w:p>
  </w:footnote>
  <w:footnote w:id="7">
    <w:p w:rsidR="00F30CC1" w:rsidRPr="003D2778" w:rsidRDefault="00F30CC1" w:rsidP="00F30CC1">
      <w:pPr>
        <w:pStyle w:val="a3"/>
        <w:rPr>
          <w:rFonts w:cs="Calibri"/>
          <w:sz w:val="18"/>
          <w:szCs w:val="18"/>
        </w:rPr>
      </w:pPr>
      <w:r w:rsidRPr="00794A63">
        <w:rPr>
          <w:rStyle w:val="a6"/>
          <w:rFonts w:asciiTheme="minorHAnsi" w:hAnsiTheme="minorHAnsi" w:cstheme="minorHAnsi"/>
          <w:szCs w:val="18"/>
        </w:rPr>
        <w:footnoteRef/>
      </w:r>
      <w:r w:rsidRPr="00794A63">
        <w:rPr>
          <w:rFonts w:asciiTheme="minorHAnsi" w:hAnsiTheme="minorHAnsi" w:cstheme="minorHAnsi"/>
          <w:sz w:val="18"/>
          <w:szCs w:val="18"/>
        </w:rPr>
        <w:t xml:space="preserve"> The World Economic Forum, The Global Gender Gap Report 2016</w:t>
      </w:r>
    </w:p>
  </w:footnote>
  <w:footnote w:id="8">
    <w:p w:rsidR="00F30CC1" w:rsidRPr="00794A63" w:rsidRDefault="00F30CC1" w:rsidP="00F30CC1">
      <w:pPr>
        <w:spacing w:after="0"/>
        <w:rPr>
          <w:rFonts w:asciiTheme="minorHAnsi" w:eastAsia="Times New Roman" w:hAnsiTheme="minorHAnsi" w:cstheme="minorHAnsi"/>
          <w:color w:val="003361"/>
          <w:sz w:val="18"/>
          <w:szCs w:val="18"/>
          <w:lang w:val="es-MX" w:eastAsia="es-MX"/>
        </w:rPr>
      </w:pPr>
      <w:r w:rsidRPr="00794A63">
        <w:rPr>
          <w:rStyle w:val="a6"/>
          <w:rFonts w:asciiTheme="minorHAnsi" w:hAnsiTheme="minorHAnsi" w:cstheme="minorHAnsi"/>
          <w:szCs w:val="18"/>
        </w:rPr>
        <w:footnoteRef/>
      </w:r>
      <w:r w:rsidRPr="00794A63">
        <w:rPr>
          <w:rFonts w:asciiTheme="minorHAnsi" w:hAnsiTheme="minorHAnsi" w:cstheme="minorHAnsi"/>
          <w:sz w:val="18"/>
          <w:szCs w:val="18"/>
          <w:lang w:val="es-MX"/>
        </w:rPr>
        <w:t xml:space="preserve"> INEGI (2016) Tabulados de la Encuesta Intercensal 2015 https://www.inegi.org.mx/app/areasgeograficas/?ag=03</w:t>
      </w:r>
    </w:p>
    <w:p w:rsidR="00F30CC1" w:rsidRPr="0005413D" w:rsidRDefault="00F30CC1" w:rsidP="00F30CC1">
      <w:pPr>
        <w:pStyle w:val="a3"/>
        <w:rPr>
          <w:sz w:val="14"/>
          <w:szCs w:val="14"/>
          <w:lang w:val="es-ES"/>
        </w:rPr>
      </w:pPr>
    </w:p>
  </w:footnote>
  <w:footnote w:id="9">
    <w:p w:rsidR="00F30CC1" w:rsidRPr="00794A63" w:rsidRDefault="00F30CC1" w:rsidP="00F30CC1">
      <w:pPr>
        <w:tabs>
          <w:tab w:val="left" w:pos="284"/>
        </w:tabs>
        <w:ind w:left="426" w:hanging="426"/>
        <w:rPr>
          <w:rFonts w:asciiTheme="minorHAnsi" w:hAnsiTheme="minorHAnsi" w:cstheme="minorHAnsi"/>
          <w:sz w:val="18"/>
          <w:szCs w:val="18"/>
          <w:lang w:val="es-MX"/>
        </w:rPr>
      </w:pPr>
      <w:r w:rsidRPr="00794A63">
        <w:rPr>
          <w:rStyle w:val="a6"/>
          <w:rFonts w:asciiTheme="minorHAnsi" w:hAnsiTheme="minorHAnsi" w:cstheme="minorHAnsi"/>
          <w:szCs w:val="18"/>
        </w:rPr>
        <w:footnoteRef/>
      </w:r>
      <w:r w:rsidRPr="00794A63">
        <w:rPr>
          <w:rFonts w:asciiTheme="minorHAnsi" w:hAnsiTheme="minorHAnsi" w:cstheme="minorHAnsi"/>
          <w:sz w:val="18"/>
          <w:szCs w:val="18"/>
          <w:lang w:val="es-MX"/>
        </w:rPr>
        <w:t xml:space="preserve">   Sistema Nacional de Prevención, Atención, Sanción y Erradicación de la Violencia contra las Mujeres  (CONAVIN): Available:  https://www.gob.mx/conavim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EC03B7"/>
    <w:multiLevelType w:val="hybridMultilevel"/>
    <w:tmpl w:val="7F544A5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FEC7353"/>
    <w:multiLevelType w:val="hybridMultilevel"/>
    <w:tmpl w:val="0BF4D7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4002B29"/>
    <w:multiLevelType w:val="hybridMultilevel"/>
    <w:tmpl w:val="DC8C7BA2"/>
    <w:lvl w:ilvl="0" w:tplc="F192FA26">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 w15:restartNumberingAfterBreak="0">
    <w:nsid w:val="41A17113"/>
    <w:multiLevelType w:val="hybridMultilevel"/>
    <w:tmpl w:val="54BE64D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7D5C03C9"/>
    <w:multiLevelType w:val="hybridMultilevel"/>
    <w:tmpl w:val="00C83404"/>
    <w:lvl w:ilvl="0" w:tplc="04090017">
      <w:start w:val="1"/>
      <w:numFmt w:val="lowerLetter"/>
      <w:lvlText w:val="%1)"/>
      <w:lvlJc w:val="left"/>
      <w:pPr>
        <w:ind w:left="720" w:hanging="360"/>
      </w:pPr>
    </w:lvl>
    <w:lvl w:ilvl="1" w:tplc="EEC6E2F0">
      <w:numFmt w:val="bullet"/>
      <w:lvlText w:val="•"/>
      <w:lvlJc w:val="left"/>
      <w:pPr>
        <w:ind w:left="1440" w:hanging="360"/>
      </w:pPr>
      <w:rPr>
        <w:rFonts w:ascii="Calibri" w:eastAsia="Calibr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CC1"/>
    <w:rsid w:val="001679A2"/>
    <w:rsid w:val="001F2919"/>
    <w:rsid w:val="002F339E"/>
    <w:rsid w:val="00581E47"/>
    <w:rsid w:val="00597EE6"/>
    <w:rsid w:val="006F08E7"/>
    <w:rsid w:val="00B63167"/>
    <w:rsid w:val="00F30C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E3C06"/>
  <w15:chartTrackingRefBased/>
  <w15:docId w15:val="{97B14CF2-383F-EB4F-A4BC-7A067FEAB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F30CC1"/>
    <w:pPr>
      <w:spacing w:after="60"/>
      <w:jc w:val="both"/>
    </w:pPr>
    <w:rPr>
      <w:rFonts w:ascii="Calibri" w:eastAsia="SimSun" w:hAnsi="Calibri" w:cs="Times New Roman"/>
      <w:sz w:val="20"/>
      <w:lang w:val="en-US"/>
    </w:rPr>
  </w:style>
  <w:style w:type="paragraph" w:styleId="2">
    <w:name w:val="heading 2"/>
    <w:basedOn w:val="a"/>
    <w:next w:val="a"/>
    <w:link w:val="20"/>
    <w:uiPriority w:val="9"/>
    <w:qFormat/>
    <w:rsid w:val="00F30CC1"/>
    <w:pPr>
      <w:keepNext/>
      <w:ind w:left="720"/>
      <w:outlineLvl w:val="1"/>
    </w:pPr>
    <w:rPr>
      <w:rFonts w:ascii="Arial Narrow" w:hAnsi="Arial Narrow"/>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30CC1"/>
    <w:rPr>
      <w:rFonts w:ascii="Arial Narrow" w:eastAsia="SimSun" w:hAnsi="Arial Narrow" w:cs="Times New Roman"/>
      <w:b/>
      <w:bCs/>
      <w:sz w:val="20"/>
      <w:lang w:val="en-US"/>
    </w:rPr>
  </w:style>
  <w:style w:type="paragraph" w:styleId="a3">
    <w:name w:val="footnote text"/>
    <w:aliases w:val="Geneva 9,Font: Geneva 9,Boston 10,f,single space,footnote text,Footnote,otnote Text,Footnote Text Char Char Char,Footnote Text Char Char Char Char Char Char Char,Footnote Text Char Char Char Char Char,Footnotes,Footnote Text Char Char1,fn"/>
    <w:basedOn w:val="a"/>
    <w:link w:val="a4"/>
    <w:uiPriority w:val="99"/>
    <w:qFormat/>
    <w:rsid w:val="00F30CC1"/>
    <w:pPr>
      <w:widowControl w:val="0"/>
    </w:pPr>
    <w:rPr>
      <w:rFonts w:ascii="Courier" w:hAnsi="Courier"/>
      <w:szCs w:val="20"/>
    </w:rPr>
  </w:style>
  <w:style w:type="character" w:customStyle="1" w:styleId="a4">
    <w:name w:val="Текст сноски Знак"/>
    <w:aliases w:val="Geneva 9 Знак,Font: Geneva 9 Знак,Boston 10 Знак,f Знак,single space Знак,footnote text Знак,Footnote Знак,otnote Text Знак,Footnote Text Char Char Char Знак,Footnote Text Char Char Char Char Char Char Char Знак,Footnotes Знак,fn Знак"/>
    <w:basedOn w:val="a0"/>
    <w:link w:val="a3"/>
    <w:uiPriority w:val="99"/>
    <w:rsid w:val="00F30CC1"/>
    <w:rPr>
      <w:rFonts w:ascii="Courier" w:eastAsia="SimSun" w:hAnsi="Courier" w:cs="Times New Roman"/>
      <w:sz w:val="20"/>
      <w:szCs w:val="20"/>
      <w:lang w:val="en-US"/>
    </w:rPr>
  </w:style>
  <w:style w:type="character" w:styleId="a5">
    <w:name w:val="Emphasis"/>
    <w:uiPriority w:val="20"/>
    <w:qFormat/>
    <w:rsid w:val="00F30CC1"/>
    <w:rPr>
      <w:rFonts w:cs="Times New Roman"/>
      <w:i/>
      <w:iCs/>
    </w:rPr>
  </w:style>
  <w:style w:type="character" w:styleId="a6">
    <w:name w:val="footnote reference"/>
    <w:aliases w:val="16 Point,Superscript 6 Point,Superscript 6 Point + 11 pt,ftref,Footnote Reference Number,SUPERS,SUPERS1,SUPERS2,SUPERS3,BVI fnr,BVI fnr Car Car,BVI fnr Car,BVI fnr Car Car Car Car,FNRefe Char Char Char,BVI fnr Char Char Char,titulo 2"/>
    <w:link w:val="CharCharCharCharCarChar"/>
    <w:uiPriority w:val="99"/>
    <w:rsid w:val="00F30CC1"/>
    <w:rPr>
      <w:rFonts w:ascii="Arial" w:hAnsi="Arial" w:cs="Times New Roman"/>
      <w:sz w:val="18"/>
      <w:vertAlign w:val="superscript"/>
    </w:rPr>
  </w:style>
  <w:style w:type="character" w:customStyle="1" w:styleId="apple-converted-space">
    <w:name w:val="apple-converted-space"/>
    <w:basedOn w:val="a0"/>
    <w:rsid w:val="00F30CC1"/>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a"/>
    <w:link w:val="a6"/>
    <w:uiPriority w:val="99"/>
    <w:rsid w:val="00F30CC1"/>
    <w:pPr>
      <w:spacing w:after="160" w:line="240" w:lineRule="exact"/>
    </w:pPr>
    <w:rPr>
      <w:rFonts w:ascii="Arial" w:eastAsiaTheme="minorHAnsi" w:hAnsi="Arial"/>
      <w:sz w:val="18"/>
      <w:vertAlign w:val="superscript"/>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Mexico</GEFCountry>
    <Classification xmlns="ceb00776-aa5c-4fc8-b6fe-5f035152e4b6">Public</Classification>
    <Country1 xmlns="ceb00776-aa5c-4fc8-b6fe-5f035152e4b6" xsi:nil="true"/>
    <DocPrefix xmlns="ceb00776-aa5c-4fc8-b6fe-5f035152e4b6">Others</DocPrefix>
    <GEFID xmlns="ceb00776-aa5c-4fc8-b6fe-5f035152e4b6">9613</GEFID>
    <ProjectType xmlns="ceb00776-aa5c-4fc8-b6fe-5f035152e4b6">FSP</ProjectType>
    <GEFProjectID xmlns="ceb00776-aa5c-4fc8-b6fe-5f035152e4b6">68b2de63-df7c-e811-8124-3863bb2e1360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CEO Endorsement Project Justification</DocType>
    <ProjectTitle xmlns="ceb00776-aa5c-4fc8-b6fe-5f035152e4b6">Mainstreaming Biodiversity Conservation Criteria in Mexico’s Tourism Sector with Emphasis on Biodiversity-rich Coastal Ecosystems</ProjectTitle>
    <TrustFundType xmlns="ceb00776-aa5c-4fc8-b6fe-5f035152e4b6">GET</TrustFundType>
    <TaxCatchAll xmlns="3e02667f-0271-471b-bd6e-11a2e16def1d"/>
    <DocumentTitle xmlns="ceb00776-aa5c-4fc8-b6fe-5f035152e4b6">PIMS 5766 Mexico DB Tourism GAAP 17April2019</DocumentTitle>
  </documentManagement>
</p:properties>
</file>

<file path=customXml/itemProps1.xml><?xml version="1.0" encoding="utf-8"?>
<ds:datastoreItem xmlns:ds="http://schemas.openxmlformats.org/officeDocument/2006/customXml" ds:itemID="{758B9E3E-943C-4884-A86A-2364C688F128}"/>
</file>

<file path=customXml/itemProps2.xml><?xml version="1.0" encoding="utf-8"?>
<ds:datastoreItem xmlns:ds="http://schemas.openxmlformats.org/officeDocument/2006/customXml" ds:itemID="{D55C0EA6-BBF9-47CC-BE8F-862D91AD5E9A}"/>
</file>

<file path=customXml/itemProps3.xml><?xml version="1.0" encoding="utf-8"?>
<ds:datastoreItem xmlns:ds="http://schemas.openxmlformats.org/officeDocument/2006/customXml" ds:itemID="{2D30E463-4A83-400A-A025-39966258E3B1}"/>
</file>

<file path=docProps/app.xml><?xml version="1.0" encoding="utf-8"?>
<Properties xmlns="http://schemas.openxmlformats.org/officeDocument/2006/extended-properties" xmlns:vt="http://schemas.openxmlformats.org/officeDocument/2006/docPropsVTypes">
  <Template>Normal.dotm</Template>
  <TotalTime>0</TotalTime>
  <Pages>9</Pages>
  <Words>3812</Words>
  <Characters>21733</Characters>
  <Application>Microsoft Office Word</Application>
  <DocSecurity>0</DocSecurity>
  <Lines>181</Lines>
  <Paragraphs>50</Paragraphs>
  <ScaleCrop>false</ScaleCrop>
  <Company/>
  <LinksUpToDate>false</LinksUpToDate>
  <CharactersWithSpaces>25495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Lukina Lebedeva</dc:creator>
  <cp:keywords/>
  <dc:description/>
  <cp:lastModifiedBy>Maria Lukina Lebedeva</cp:lastModifiedBy>
  <cp:revision>1</cp:revision>
  <dcterms:created xsi:type="dcterms:W3CDTF">2019-04-17T18:54:00Z</dcterms:created>
  <dcterms:modified xsi:type="dcterms:W3CDTF">2019-04-17T18:54:00Z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